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BriefLabel"/>
      </w:pPr>
      <w:r>
        <w:t>POTOMAC HIGHLANDS STRATEGY</w:t>
      </w:r>
    </w:p>
    <w:p>
      <w:pPr>
        <w:pStyle w:val="Title"/>
      </w:pPr>
      <w:r>
        <w:t>Monday</w:t>
        <w:br/>
        <w:t>Intelligence Brief</w:t>
      </w:r>
    </w:p>
    <w:p>
      <w:pPr>
        <w:spacing w:before="160"/>
      </w:pPr>
      <w:r>
        <w:rPr>
          <w:b/>
          <w:color w:val="17324D"/>
          <w:sz w:val="28"/>
        </w:rPr>
        <w:t>SEPTEMBER 28–OCTOBER 4, 2026</w:t>
      </w:r>
    </w:p>
    <w:tbl>
      <w:tblPr>
        <w:tblW w:type="auto" w:w="0"/>
        <w:jc w:val="left"/>
        <w:tblLook w:firstColumn="1" w:firstRow="1" w:lastColumn="0" w:lastRow="0" w:noHBand="0" w:noVBand="1" w:val="04A0"/>
      </w:tblPr>
      <w:tblGrid>
        <w:gridCol w:w="10152"/>
      </w:tblGrid>
      <w:tr>
        <w:trPr>
          <w:trHeight w:val="160"/>
          <w:cantSplit/>
        </w:trPr>
        <w:tc>
          <w:tcPr>
            <w:tcW w:type="dxa" w:w="10166"/>
            <w:shd w:fill="17324D"/>
            <w:tcMar>
              <w:top w:w="0" w:type="dxa"/>
              <w:start w:w="0" w:type="dxa"/>
              <w:bottom w:w="0" w:type="dxa"/>
              <w:end w:w="0" w:type="dxa"/>
            </w:tcMar>
          </w:tcPr>
          <w:p>
            <w:pPr>
              <w:spacing w:after="0"/>
            </w:pPr>
          </w:p>
        </w:tc>
      </w:tr>
    </w:tbl>
    <w:p>
      <w:pPr/>
      <w:r>
        <w:br/>
        <w:t>A concise, nonpartisan scan of federal policy, operations, funding, procurement and scheduled activity for decision-makers nationwide.</w:t>
      </w:r>
    </w:p>
    <w:tbl>
      <w:tblPr>
        <w:tblW w:type="auto" w:w="0"/>
        <w:jc w:val="center"/>
        <w:tblLayout w:type="fixed"/>
        <w:tblLook w:firstColumn="1" w:firstRow="1" w:lastColumn="0" w:lastRow="0" w:noHBand="0" w:noVBand="1" w:val="04A0"/>
      </w:tblPr>
      <w:tblGrid>
        <w:gridCol w:w="10008"/>
      </w:tblGrid>
      <w:tr>
        <w:trPr>
          <w:cantSplit/>
        </w:trPr>
        <w:tc>
          <w:tcPr>
            <w:tcW w:type="dxa" w:w="10166"/>
            <w:shd w:fill="EAF4F4"/>
            <w:tcMar>
              <w:top w:w="120" w:type="dxa"/>
              <w:start w:w="140" w:type="dxa"/>
              <w:bottom w:w="105" w:type="dxa"/>
              <w:end w:w="140" w:type="dxa"/>
            </w:tcMar>
          </w:tcPr>
          <w:p>
            <w:pPr>
              <w:spacing w:after="60"/>
            </w:pPr>
            <w:r>
              <w:rPr>
                <w:b/>
                <w:color w:val="111111"/>
              </w:rPr>
              <w:t>This week’s operating picture</w:t>
            </w:r>
          </w:p>
          <w:p>
            <w:pPr>
              <w:spacing w:after="0"/>
            </w:pPr>
            <w:r>
              <w:t>Congressional committee activity is concentrated on AI security, defense modernization, energy infrastructure and nominations. Major economic releases arrive Wednesday and Friday. Agencies are translating policy into grants, contract consolidation, grid investments and enforcement activity.</w:t>
            </w:r>
          </w:p>
        </w:tc>
      </w:tr>
    </w:tbl>
    <w:p>
      <w:r>
        <w:br/>
      </w:r>
    </w:p>
    <w:tbl>
      <w:tblPr>
        <w:tblW w:type="auto" w:w="0"/>
        <w:jc w:val="center"/>
        <w:tblLayout w:type="fixed"/>
        <w:tblLook w:firstColumn="1" w:firstRow="1" w:lastColumn="0" w:lastRow="0" w:noHBand="0" w:noVBand="1" w:val="04A0"/>
      </w:tblPr>
      <w:tblGrid>
        <w:gridCol w:w="4925"/>
        <w:gridCol w:w="4925"/>
      </w:tblGrid>
      <w:tr>
        <w:trPr>
          <w:cantSplit/>
        </w:trPr>
        <w:tc>
          <w:tcPr>
            <w:tcW w:type="dxa" w:w="5083"/>
            <w:vAlign w:val="top"/>
            <w:shd w:fill="EAF4F4"/>
            <w:tcMar>
              <w:top w:w="105" w:type="dxa"/>
              <w:start w:w="115" w:type="dxa"/>
              <w:bottom w:w="95" w:type="dxa"/>
              <w:end w:w="115" w:type="dxa"/>
            </w:tcMar>
          </w:tcPr>
          <w:p>
            <w:pPr>
              <w:spacing w:after="40"/>
            </w:pPr>
            <w:r>
              <w:rPr>
                <w:b/>
                <w:color w:val="111111"/>
                <w:sz w:val="19"/>
              </w:rPr>
              <w:t>Review window</w:t>
            </w:r>
          </w:p>
          <w:p>
            <w:pPr>
              <w:spacing w:after="40"/>
            </w:pPr>
            <w:r>
              <w:t>Confirmed developments: September 21–27, 2026</w:t>
            </w:r>
          </w:p>
          <w:p>
            <w:pPr>
              <w:pStyle w:val="SmallNote"/>
            </w:pPr>
            <w:hyperlink r:id="rId11">
              <w:r>
                <w:rPr>
                  <w:color w:val="168A8A"/>
                  <w:u w:val="single"/>
                </w:rPr>
                <w:t>Methodology</w:t>
              </w:r>
            </w:hyperlink>
          </w:p>
        </w:tc>
        <w:tc>
          <w:tcPr>
            <w:tcW w:type="dxa" w:w="5083"/>
            <w:vAlign w:val="top"/>
            <w:shd w:fill="F3F5F7"/>
            <w:tcMar>
              <w:top w:w="105" w:type="dxa"/>
              <w:start w:w="115" w:type="dxa"/>
              <w:bottom w:w="95" w:type="dxa"/>
              <w:end w:w="115" w:type="dxa"/>
            </w:tcMar>
          </w:tcPr>
          <w:p>
            <w:pPr>
              <w:spacing w:after="40"/>
            </w:pPr>
            <w:r>
              <w:rPr>
                <w:b/>
                <w:color w:val="111111"/>
                <w:sz w:val="19"/>
              </w:rPr>
              <w:t>Forward window</w:t>
            </w:r>
          </w:p>
          <w:p>
            <w:pPr>
              <w:spacing w:after="40"/>
            </w:pPr>
            <w:r>
              <w:t>Announced activity: September 28–October 4, 2026</w:t>
            </w:r>
          </w:p>
          <w:p>
            <w:pPr>
              <w:pStyle w:val="SmallNote"/>
            </w:pPr>
            <w:hyperlink r:id="rId12">
              <w:r>
                <w:rPr>
                  <w:color w:val="168A8A"/>
                  <w:u w:val="single"/>
                </w:rPr>
                <w:t>Federal Register</w:t>
              </w:r>
            </w:hyperlink>
          </w:p>
        </w:tc>
      </w:tr>
      <w:tr>
        <w:trPr>
          <w:cantSplit/>
        </w:trPr>
        <w:tc>
          <w:tcPr>
            <w:tcW w:type="dxa" w:w="5083"/>
            <w:vAlign w:val="top"/>
            <w:shd w:fill="F3F5F7"/>
            <w:tcMar>
              <w:top w:w="105" w:type="dxa"/>
              <w:start w:w="115" w:type="dxa"/>
              <w:bottom w:w="95" w:type="dxa"/>
              <w:end w:w="115" w:type="dxa"/>
            </w:tcMar>
          </w:tcPr>
          <w:p>
            <w:pPr>
              <w:spacing w:after="40"/>
            </w:pPr>
            <w:r>
              <w:rPr>
                <w:b/>
                <w:color w:val="111111"/>
                <w:sz w:val="19"/>
              </w:rPr>
              <w:t>Coverage</w:t>
            </w:r>
          </w:p>
          <w:p>
            <w:pPr>
              <w:spacing w:after="40"/>
            </w:pPr>
            <w:r>
              <w:t>White House, Congress, courts, Cabinet departments and cross-cutting federal offices</w:t>
            </w:r>
          </w:p>
          <w:p>
            <w:pPr>
              <w:pStyle w:val="SmallNote"/>
            </w:pPr>
            <w:hyperlink r:id="rId13">
              <w:r>
                <w:rPr>
                  <w:color w:val="168A8A"/>
                  <w:u w:val="single"/>
                </w:rPr>
                <w:t>Congress.gov</w:t>
              </w:r>
            </w:hyperlink>
          </w:p>
        </w:tc>
        <w:tc>
          <w:tcPr>
            <w:tcW w:type="dxa" w:w="5083"/>
            <w:vAlign w:val="top"/>
            <w:shd w:fill="EAF4F4"/>
            <w:tcMar>
              <w:top w:w="105" w:type="dxa"/>
              <w:start w:w="115" w:type="dxa"/>
              <w:bottom w:w="95" w:type="dxa"/>
              <w:end w:w="115" w:type="dxa"/>
            </w:tcMar>
          </w:tcPr>
          <w:p>
            <w:pPr>
              <w:spacing w:after="40"/>
            </w:pPr>
            <w:r>
              <w:rPr>
                <w:b/>
                <w:color w:val="111111"/>
                <w:sz w:val="19"/>
              </w:rPr>
              <w:t>Reader note</w:t>
            </w:r>
          </w:p>
          <w:p>
            <w:pPr>
              <w:spacing w:after="40"/>
            </w:pPr>
            <w:r>
              <w:t>Facts, announced schedules and analytical forecasts are labeled separately. Links go to official public sources.</w:t>
            </w:r>
          </w:p>
          <w:p>
            <w:pPr>
              <w:pStyle w:val="SmallNote"/>
            </w:pPr>
            <w:hyperlink r:id="rId14">
              <w:r>
                <w:rPr>
                  <w:color w:val="168A8A"/>
                  <w:u w:val="single"/>
                </w:rPr>
                <w:t>USA.gov</w:t>
              </w:r>
            </w:hyperlink>
          </w:p>
        </w:tc>
      </w:tr>
    </w:tbl>
    <w:p>
      <w:pPr>
        <w:pStyle w:val="SmallNote"/>
      </w:pPr>
      <w:r>
        <w:br/>
        <w:t>Prepared for rapid Monday-morning review. Public-source information only; no sensitive or private information.</w:t>
      </w:r>
    </w:p>
    <w:p>
      <w:r>
        <w:br w:type="page"/>
      </w:r>
    </w:p>
    <w:p>
      <w:pPr>
        <w:pStyle w:val="BriefLabel"/>
      </w:pPr>
      <w:r>
        <w:t>WEEK AT A GLANCE</w:t>
      </w:r>
    </w:p>
    <w:p>
      <w:pPr>
        <w:pStyle w:val="Heading1"/>
        <w:keepNext/>
      </w:pPr>
      <w:r>
        <w:t>Executive Summary</w:t>
      </w:r>
    </w:p>
    <w:tbl>
      <w:tblPr>
        <w:tblW w:type="auto" w:w="0"/>
        <w:jc w:val="left"/>
        <w:tblLook w:firstColumn="1" w:firstRow="1" w:lastColumn="0" w:lastRow="0" w:noHBand="0" w:noVBand="1" w:val="04A0"/>
      </w:tblPr>
      <w:tblGrid>
        <w:gridCol w:w="10152"/>
      </w:tblGrid>
      <w:tr>
        <w:trPr>
          <w:trHeight w:val="100"/>
          <w:cantSplit/>
        </w:trPr>
        <w:tc>
          <w:tcPr>
            <w:tcW w:type="dxa" w:w="10166"/>
            <w:shd w:fill="168A8A"/>
            <w:tcMar>
              <w:top w:w="0" w:type="dxa"/>
              <w:start w:w="0" w:type="dxa"/>
              <w:bottom w:w="0" w:type="dxa"/>
              <w:end w:w="0" w:type="dxa"/>
            </w:tcMar>
          </w:tcPr>
          <w:p>
            <w:pPr>
              <w:spacing w:after="0"/>
            </w:pPr>
          </w:p>
        </w:tc>
      </w:tr>
    </w:tbl>
    <w:tbl>
      <w:tblPr>
        <w:tblW w:type="auto" w:w="0"/>
        <w:jc w:val="center"/>
        <w:tblLayout w:type="fixed"/>
        <w:tblLook w:firstColumn="1" w:firstRow="1" w:lastColumn="0" w:lastRow="0" w:noHBand="0" w:noVBand="1" w:val="04A0"/>
      </w:tblPr>
      <w:tblGrid>
        <w:gridCol w:w="10008"/>
      </w:tblGrid>
      <w:tr>
        <w:trPr>
          <w:cantSplit/>
        </w:trPr>
        <w:tc>
          <w:tcPr>
            <w:tcW w:type="dxa" w:w="10166"/>
            <w:shd w:fill="EAF4F4"/>
            <w:tcMar>
              <w:top w:w="120" w:type="dxa"/>
              <w:start w:w="140" w:type="dxa"/>
              <w:bottom w:w="105" w:type="dxa"/>
              <w:end w:w="140" w:type="dxa"/>
            </w:tcMar>
          </w:tcPr>
          <w:p>
            <w:pPr>
              <w:spacing w:after="60"/>
            </w:pPr>
            <w:r>
              <w:rPr>
                <w:b/>
                <w:color w:val="111111"/>
              </w:rPr>
              <w:t>Bottom line</w:t>
            </w:r>
          </w:p>
          <w:p>
            <w:pPr>
              <w:spacing w:after="0"/>
            </w:pPr>
            <w:r>
              <w:t>The week combines a heavy Senate committee calendar with an unusually important run of labor, GDP, income and spending data. Operationally, organizations should track three fronts: implementation of U.S.–China trade commitments, federal demand for grid and AI-security capabilities, and a shift toward larger enterprise acquisition vehicles in health procurement.</w:t>
            </w:r>
          </w:p>
        </w:tc>
      </w:tr>
    </w:tbl>
    <w:p>
      <w:pPr>
        <w:pStyle w:val="Heading2"/>
        <w:keepNext/>
      </w:pPr>
      <w:r>
        <w:t>Top developments</w:t>
      </w:r>
    </w:p>
    <w:p>
      <w:pPr>
        <w:ind w:left="230" w:hanging="187"/>
      </w:pPr>
      <w:r>
        <w:rPr>
          <w:b/>
          <w:color w:val="D5A021"/>
        </w:rPr>
        <w:t xml:space="preserve">• </w:t>
      </w:r>
      <w:r>
        <w:rPr>
          <w:b/>
          <w:color w:val="111111"/>
        </w:rPr>
        <w:t xml:space="preserve">ANNOUNCED — </w:t>
      </w:r>
      <w:r>
        <w:t>The Senate returns Monday at 3:00 p.m.; a 5:30 p.m. vote is scheduled on S. 4668, the Protect College Sports Act, as amended.</w:t>
      </w:r>
      <w:r>
        <w:t xml:space="preserve">  </w:t>
      </w:r>
      <w:hyperlink r:id="rId15">
        <w:r>
          <w:rPr>
            <w:color w:val="168A8A"/>
            <w:u w:val="single"/>
          </w:rPr>
          <w:t>Senate Daily Press</w:t>
        </w:r>
      </w:hyperlink>
    </w:p>
    <w:p>
      <w:pPr>
        <w:ind w:left="230" w:hanging="187"/>
      </w:pPr>
      <w:r>
        <w:rPr>
          <w:b/>
          <w:color w:val="D5A021"/>
        </w:rPr>
        <w:t xml:space="preserve">• </w:t>
      </w:r>
      <w:r>
        <w:rPr>
          <w:b/>
          <w:color w:val="111111"/>
        </w:rPr>
        <w:t xml:space="preserve">ANNOUNCED — </w:t>
      </w:r>
      <w:r>
        <w:t>Senate committees have scheduled hearings and business meetings on Golden Dome, “rogue AI,” energy permitting and grid bills, HHS and diplomatic nominations, Nicaragua and Venezuela.</w:t>
      </w:r>
      <w:r>
        <w:t xml:space="preserve">  </w:t>
      </w:r>
      <w:hyperlink r:id="rId16">
        <w:r>
          <w:rPr>
            <w:color w:val="168A8A"/>
            <w:u w:val="single"/>
          </w:rPr>
          <w:t>Senate committees</w:t>
        </w:r>
      </w:hyperlink>
    </w:p>
    <w:p>
      <w:pPr>
        <w:ind w:left="230" w:hanging="187"/>
      </w:pPr>
      <w:r>
        <w:rPr>
          <w:b/>
          <w:color w:val="D5A021"/>
        </w:rPr>
        <w:t xml:space="preserve">• </w:t>
      </w:r>
      <w:r>
        <w:rPr>
          <w:b/>
          <w:color w:val="111111"/>
        </w:rPr>
        <w:t xml:space="preserve">CONFIRMED — </w:t>
      </w:r>
      <w:r>
        <w:t>The House Majority Leader page still showed the week of September 14 at publication time; no current weekly floor agenda was posted. Readers should recheck the official page before acting.</w:t>
      </w:r>
      <w:r>
        <w:t xml:space="preserve">  </w:t>
      </w:r>
      <w:hyperlink r:id="rId17">
        <w:r>
          <w:rPr>
            <w:color w:val="168A8A"/>
            <w:u w:val="single"/>
          </w:rPr>
          <w:t>House schedule</w:t>
        </w:r>
      </w:hyperlink>
    </w:p>
    <w:p>
      <w:pPr>
        <w:ind w:left="230" w:hanging="187"/>
      </w:pPr>
      <w:r>
        <w:rPr>
          <w:b/>
          <w:color w:val="D5A021"/>
        </w:rPr>
        <w:t xml:space="preserve">• </w:t>
      </w:r>
      <w:r>
        <w:rPr>
          <w:b/>
          <w:color w:val="111111"/>
        </w:rPr>
        <w:t xml:space="preserve">CONFIRMED — </w:t>
      </w:r>
      <w:r>
        <w:t>The White House announced a U.S.–China Board of Trade framework recommending reciprocal reduced tariffs on $30 billion of non-sensitive goods in each direction, alongside new commitments on fentanyl precursors, coal purchases and critical minerals.</w:t>
      </w:r>
      <w:r>
        <w:t xml:space="preserve">  </w:t>
      </w:r>
      <w:hyperlink r:id="rId18">
        <w:r>
          <w:rPr>
            <w:color w:val="168A8A"/>
            <w:u w:val="single"/>
          </w:rPr>
          <w:t>White House fact sheet</w:t>
        </w:r>
      </w:hyperlink>
    </w:p>
    <w:p>
      <w:pPr>
        <w:ind w:left="230" w:hanging="187"/>
      </w:pPr>
      <w:r>
        <w:rPr>
          <w:b/>
          <w:color w:val="D5A021"/>
        </w:rPr>
        <w:t xml:space="preserve">• </w:t>
      </w:r>
      <w:r>
        <w:rPr>
          <w:b/>
          <w:color w:val="111111"/>
        </w:rPr>
        <w:t xml:space="preserve">ANNOUNCED — </w:t>
      </w:r>
      <w:r>
        <w:t>BLS, BEA and Census will publish JOLTS, third-estimate GDP, personal income and outlays, construction spending, manufacturing orders and the September employment report.</w:t>
      </w:r>
      <w:r>
        <w:t xml:space="preserve">  </w:t>
      </w:r>
      <w:hyperlink r:id="rId19">
        <w:r>
          <w:rPr>
            <w:color w:val="168A8A"/>
            <w:u w:val="single"/>
          </w:rPr>
          <w:t>BLS calendar</w:t>
        </w:r>
      </w:hyperlink>
    </w:p>
    <w:p>
      <w:pPr>
        <w:ind w:left="230" w:hanging="187"/>
      </w:pPr>
      <w:r>
        <w:rPr>
          <w:b/>
          <w:color w:val="D5A021"/>
        </w:rPr>
        <w:t xml:space="preserve">• </w:t>
      </w:r>
      <w:r>
        <w:rPr>
          <w:b/>
          <w:color w:val="111111"/>
        </w:rPr>
        <w:t xml:space="preserve">CONFIRMED — </w:t>
      </w:r>
      <w:r>
        <w:t>DOJ opened a $25 million ANGEL grant opportunity for coordinated intelligence-led law enforcement; HHS announced nearly $250 million in behavioral-health awards and a procurement consolidation affecting thousands of contracts.</w:t>
      </w:r>
      <w:r>
        <w:t xml:space="preserve">  </w:t>
      </w:r>
      <w:hyperlink r:id="rId20">
        <w:r>
          <w:rPr>
            <w:color w:val="168A8A"/>
            <w:u w:val="single"/>
          </w:rPr>
          <w:t>DOJ ANGEL grant</w:t>
        </w:r>
      </w:hyperlink>
    </w:p>
    <w:p>
      <w:pPr>
        <w:pStyle w:val="Heading2"/>
        <w:keepNext/>
      </w:pPr>
      <w:r>
        <w:t>Analytical forecast</w:t>
      </w:r>
    </w:p>
    <w:p>
      <w:pPr>
        <w:ind w:left="230" w:hanging="187"/>
      </w:pPr>
      <w:r>
        <w:rPr>
          <w:b/>
          <w:color w:val="D5A021"/>
        </w:rPr>
        <w:t xml:space="preserve">• </w:t>
      </w:r>
      <w:r>
        <w:rPr>
          <w:b/>
          <w:color w:val="111111"/>
        </w:rPr>
        <w:t xml:space="preserve">ANALYSIS — </w:t>
      </w:r>
      <w:r>
        <w:t>Expect market and policy attention to pivot quickly from the China announcements to implementation details, while Friday’s jobs report shapes the near-term economic narrative. Contractors should expect agencies to favor scalable, interoperable solutions in AI security, grid resilience, data sharing and enterprise services.</w:t>
      </w:r>
    </w:p>
    <w:p>
      <w:r>
        <w:br w:type="page"/>
      </w:r>
    </w:p>
    <w:p>
      <w:pPr>
        <w:pStyle w:val="BriefLabel"/>
      </w:pPr>
      <w:r>
        <w:t>OFFICIAL SCHEDULES</w:t>
      </w:r>
    </w:p>
    <w:p>
      <w:pPr>
        <w:pStyle w:val="Heading1"/>
        <w:keepNext/>
      </w:pPr>
      <w:r>
        <w:t>Congress &amp; the Federal Judiciary</w:t>
      </w:r>
    </w:p>
    <w:tbl>
      <w:tblPr>
        <w:tblW w:type="auto" w:w="0"/>
        <w:jc w:val="left"/>
        <w:tblLook w:firstColumn="1" w:firstRow="1" w:lastColumn="0" w:lastRow="0" w:noHBand="0" w:noVBand="1" w:val="04A0"/>
      </w:tblPr>
      <w:tblGrid>
        <w:gridCol w:w="10152"/>
      </w:tblGrid>
      <w:tr>
        <w:trPr>
          <w:trHeight w:val="100"/>
          <w:cantSplit/>
        </w:trPr>
        <w:tc>
          <w:tcPr>
            <w:tcW w:type="dxa" w:w="10166"/>
            <w:shd w:fill="168A8A"/>
            <w:tcMar>
              <w:top w:w="0" w:type="dxa"/>
              <w:start w:w="0" w:type="dxa"/>
              <w:bottom w:w="0" w:type="dxa"/>
              <w:end w:w="0" w:type="dxa"/>
            </w:tcMar>
          </w:tcPr>
          <w:p>
            <w:pPr>
              <w:spacing w:after="0"/>
            </w:pPr>
          </w:p>
        </w:tc>
      </w:tr>
    </w:tbl>
    <w:p>
      <w:pPr>
        <w:pStyle w:val="Heading2"/>
        <w:keepNext/>
      </w:pPr>
      <w:r>
        <w:t>Floor activity and prior-week actions</w:t>
      </w:r>
    </w:p>
    <w:p>
      <w:pPr>
        <w:ind w:left="230" w:hanging="187"/>
      </w:pPr>
      <w:r>
        <w:rPr>
          <w:b/>
          <w:color w:val="D5A021"/>
        </w:rPr>
        <w:t xml:space="preserve">• </w:t>
      </w:r>
      <w:r>
        <w:rPr>
          <w:b/>
          <w:color w:val="111111"/>
        </w:rPr>
        <w:t xml:space="preserve">CONFIRMED — </w:t>
      </w:r>
      <w:r>
        <w:t>Senate: S. 4668 is the first scheduled vote Monday. Last week, the chamber invoked cloture 74–25 and adopted the Cruz–Cantwell substitute 77–23.</w:t>
      </w:r>
      <w:r>
        <w:t xml:space="preserve">  </w:t>
      </w:r>
      <w:hyperlink r:id="rId15">
        <w:r>
          <w:rPr>
            <w:color w:val="168A8A"/>
            <w:u w:val="single"/>
          </w:rPr>
          <w:t>Senate Daily Press</w:t>
        </w:r>
      </w:hyperlink>
    </w:p>
    <w:p>
      <w:pPr>
        <w:ind w:left="230" w:hanging="187"/>
      </w:pPr>
      <w:r>
        <w:rPr>
          <w:b/>
          <w:color w:val="D5A021"/>
        </w:rPr>
        <w:t xml:space="preserve">• </w:t>
      </w:r>
      <w:r>
        <w:rPr>
          <w:b/>
          <w:color w:val="111111"/>
        </w:rPr>
        <w:t xml:space="preserve">CONFIRMED — </w:t>
      </w:r>
      <w:r>
        <w:t>Last week the Senate passed two aviation measures by unanimous consent: S. 3257 on mental health in aviation and S. 3258 on medication transparency. It also concurred in House amendments to S. 283 and S. 240.</w:t>
      </w:r>
      <w:r>
        <w:t xml:space="preserve">  </w:t>
      </w:r>
      <w:hyperlink r:id="rId15">
        <w:r>
          <w:rPr>
            <w:color w:val="168A8A"/>
            <w:u w:val="single"/>
          </w:rPr>
          <w:t>Senate Daily Press</w:t>
        </w:r>
      </w:hyperlink>
    </w:p>
    <w:p>
      <w:pPr>
        <w:ind w:left="230" w:hanging="187"/>
      </w:pPr>
      <w:r>
        <w:rPr>
          <w:b/>
          <w:color w:val="D5A021"/>
        </w:rPr>
        <w:t xml:space="preserve">• </w:t>
      </w:r>
      <w:r>
        <w:rPr>
          <w:b/>
          <w:color w:val="111111"/>
        </w:rPr>
        <w:t xml:space="preserve">CONFIRMED — </w:t>
      </w:r>
      <w:r>
        <w:t>A War Powers resolution, H. Con. Res. 89, failed 49–50 on September 24.</w:t>
      </w:r>
      <w:r>
        <w:t xml:space="preserve">  </w:t>
      </w:r>
      <w:hyperlink r:id="rId15">
        <w:r>
          <w:rPr>
            <w:color w:val="168A8A"/>
            <w:u w:val="single"/>
          </w:rPr>
          <w:t>Senate Daily Press</w:t>
        </w:r>
      </w:hyperlink>
    </w:p>
    <w:p>
      <w:pPr>
        <w:ind w:left="230" w:hanging="187"/>
      </w:pPr>
      <w:r>
        <w:rPr>
          <w:b/>
          <w:color w:val="D5A021"/>
        </w:rPr>
        <w:t xml:space="preserve">• </w:t>
      </w:r>
      <w:r>
        <w:rPr>
          <w:b/>
          <w:color w:val="111111"/>
        </w:rPr>
        <w:t xml:space="preserve">CONFIRMED — </w:t>
      </w:r>
      <w:r>
        <w:t>House: no current weekly agenda was posted on the Majority Leader’s schedule page at publication time.</w:t>
      </w:r>
      <w:r>
        <w:t xml:space="preserve">  </w:t>
      </w:r>
      <w:hyperlink r:id="rId17">
        <w:r>
          <w:rPr>
            <w:color w:val="168A8A"/>
            <w:u w:val="single"/>
          </w:rPr>
          <w:t>House schedule</w:t>
        </w:r>
      </w:hyperlink>
    </w:p>
    <w:p>
      <w:pPr>
        <w:pStyle w:val="Heading2"/>
        <w:keepNext/>
      </w:pPr>
      <w:r>
        <w:t>Committee calendar — selected high-impact activity</w:t>
      </w:r>
    </w:p>
    <w:p>
      <w:pPr>
        <w:ind w:left="230" w:hanging="187"/>
      </w:pPr>
      <w:r>
        <w:rPr>
          <w:b/>
          <w:color w:val="D5A021"/>
        </w:rPr>
        <w:t xml:space="preserve">• </w:t>
      </w:r>
      <w:r>
        <w:rPr>
          <w:b/>
          <w:color w:val="111111"/>
        </w:rPr>
        <w:t xml:space="preserve">ANNOUNCED — </w:t>
      </w:r>
      <w:r>
        <w:t>Mon., Sept. 28, 2:00 p.m. — Helsinki Commission briefing on protecting Ukraine’s energy infrastructure.</w:t>
      </w:r>
      <w:r>
        <w:t xml:space="preserve">  </w:t>
      </w:r>
      <w:hyperlink r:id="rId16">
        <w:r>
          <w:rPr>
            <w:color w:val="168A8A"/>
            <w:u w:val="single"/>
          </w:rPr>
          <w:t>Senate hearings</w:t>
        </w:r>
      </w:hyperlink>
    </w:p>
    <w:p>
      <w:pPr>
        <w:ind w:left="230" w:hanging="187"/>
      </w:pPr>
      <w:r>
        <w:rPr>
          <w:b/>
          <w:color w:val="D5A021"/>
        </w:rPr>
        <w:t xml:space="preserve">• </w:t>
      </w:r>
      <w:r>
        <w:rPr>
          <w:b/>
          <w:color w:val="111111"/>
        </w:rPr>
        <w:t xml:space="preserve">ANNOUNCED — </w:t>
      </w:r>
      <w:r>
        <w:t>Tue., Sept. 29 — Judiciary oversight at 9:00 a.m.; USPTO oversight at 2:30 p.m.; Intelligence closed briefing at 3:00 p.m.; Armed Services update on Golden Dome at 4:00 p.m.</w:t>
      </w:r>
      <w:r>
        <w:t xml:space="preserve">  </w:t>
      </w:r>
      <w:hyperlink r:id="rId16">
        <w:r>
          <w:rPr>
            <w:color w:val="168A8A"/>
            <w:u w:val="single"/>
          </w:rPr>
          <w:t>Senate hearings</w:t>
        </w:r>
      </w:hyperlink>
    </w:p>
    <w:p>
      <w:pPr>
        <w:ind w:left="230" w:hanging="187"/>
      </w:pPr>
      <w:r>
        <w:rPr>
          <w:b/>
          <w:color w:val="D5A021"/>
        </w:rPr>
        <w:t xml:space="preserve">• </w:t>
      </w:r>
      <w:r>
        <w:rPr>
          <w:b/>
          <w:color w:val="111111"/>
        </w:rPr>
        <w:t xml:space="preserve">ANNOUNCED — </w:t>
      </w:r>
      <w:r>
        <w:t>Wed., Sept. 30 — HELP and Judiciary nomination meetings; Energy and Natural Resources business meeting on grid, weatherization and public-lands bills; “rogue AI” homeland-security hearing at 2:30 p.m.; Nicaragua hearing at 3:00 p.m.</w:t>
      </w:r>
      <w:r>
        <w:t xml:space="preserve">  </w:t>
      </w:r>
      <w:hyperlink r:id="rId16">
        <w:r>
          <w:rPr>
            <w:color w:val="168A8A"/>
            <w:u w:val="single"/>
          </w:rPr>
          <w:t>Senate hearings</w:t>
        </w:r>
      </w:hyperlink>
    </w:p>
    <w:p>
      <w:pPr>
        <w:ind w:left="230" w:hanging="187"/>
      </w:pPr>
      <w:r>
        <w:rPr>
          <w:b/>
          <w:color w:val="D5A021"/>
        </w:rPr>
        <w:t xml:space="preserve">• </w:t>
      </w:r>
      <w:r>
        <w:rPr>
          <w:b/>
          <w:color w:val="111111"/>
        </w:rPr>
        <w:t xml:space="preserve">ANNOUNCED — </w:t>
      </w:r>
      <w:r>
        <w:t>Thu., Oct. 1 — HSGAC business at 9:30 a.m.; Banking nominations for Treasury, HUD and Export-Import Bank at 10:00 a.m.; Judiciary business at 10:15 a.m.; closed Venezuela briefing at 10:30 a.m.</w:t>
      </w:r>
      <w:r>
        <w:t xml:space="preserve">  </w:t>
      </w:r>
      <w:hyperlink r:id="rId16">
        <w:r>
          <w:rPr>
            <w:color w:val="168A8A"/>
            <w:u w:val="single"/>
          </w:rPr>
          <w:t>Senate hearings</w:t>
        </w:r>
      </w:hyperlink>
    </w:p>
    <w:p>
      <w:pPr>
        <w:pStyle w:val="Heading2"/>
        <w:keepNext/>
      </w:pPr>
      <w:r>
        <w:t>Federal judiciary</w:t>
      </w:r>
    </w:p>
    <w:p>
      <w:pPr>
        <w:ind w:left="230" w:hanging="187"/>
      </w:pPr>
      <w:r>
        <w:rPr>
          <w:b/>
          <w:color w:val="D5A021"/>
        </w:rPr>
        <w:t xml:space="preserve">• </w:t>
      </w:r>
      <w:r>
        <w:rPr>
          <w:b/>
          <w:color w:val="111111"/>
        </w:rPr>
        <w:t xml:space="preserve">ANNOUNCED — </w:t>
      </w:r>
      <w:r>
        <w:t>The Supreme Court’s regular October Term oral arguments begin Monday, October 5—outside this report window. This week is a pre-term conference and orders period; no regular oral arguments are scheduled.</w:t>
      </w:r>
      <w:r>
        <w:t xml:space="preserve">  </w:t>
      </w:r>
      <w:hyperlink r:id="rId21">
        <w:r>
          <w:rPr>
            <w:color w:val="168A8A"/>
            <w:u w:val="single"/>
          </w:rPr>
          <w:t>Supreme Court calendars</w:t>
        </w:r>
      </w:hyperlink>
    </w:p>
    <w:p>
      <w:pPr>
        <w:ind w:left="230" w:hanging="187"/>
      </w:pPr>
      <w:r>
        <w:rPr>
          <w:b/>
          <w:color w:val="D5A021"/>
        </w:rPr>
        <w:t xml:space="preserve">• </w:t>
      </w:r>
      <w:r>
        <w:rPr>
          <w:b/>
          <w:color w:val="111111"/>
        </w:rPr>
        <w:t xml:space="preserve">ANALYSIS — </w:t>
      </w:r>
      <w:r>
        <w:t>Litigation risk remains policy-specific. Monitor official court dockets and agency implementation notices rather than assuming a pending challenge pauses a rule or program.</w:t>
      </w:r>
      <w:r>
        <w:t xml:space="preserve">  </w:t>
      </w:r>
      <w:hyperlink r:id="rId22">
        <w:r>
          <w:rPr>
            <w:color w:val="168A8A"/>
            <w:u w:val="single"/>
          </w:rPr>
          <w:t>PACER</w:t>
        </w:r>
      </w:hyperlink>
    </w:p>
    <w:p>
      <w:r>
        <w:br w:type="page"/>
      </w:r>
    </w:p>
    <w:p>
      <w:pPr>
        <w:pStyle w:val="BriefLabel"/>
      </w:pPr>
      <w:r>
        <w:t>WHITE HOUSE • NATIONAL SECURITY • ENFORCEMENT</w:t>
      </w:r>
    </w:p>
    <w:p>
      <w:pPr>
        <w:pStyle w:val="Heading1"/>
        <w:keepNext/>
      </w:pPr>
      <w:r>
        <w:t>Executive Branch Scan I</w:t>
      </w:r>
    </w:p>
    <w:tbl>
      <w:tblPr>
        <w:tblW w:type="auto" w:w="0"/>
        <w:jc w:val="left"/>
        <w:tblLook w:firstColumn="1" w:firstRow="1" w:lastColumn="0" w:lastRow="0" w:noHBand="0" w:noVBand="1" w:val="04A0"/>
      </w:tblPr>
      <w:tblGrid>
        <w:gridCol w:w="10152"/>
      </w:tblGrid>
      <w:tr>
        <w:trPr>
          <w:trHeight w:val="100"/>
          <w:cantSplit/>
        </w:trPr>
        <w:tc>
          <w:tcPr>
            <w:tcW w:type="dxa" w:w="10166"/>
            <w:shd w:fill="168A8A"/>
            <w:tcMar>
              <w:top w:w="0" w:type="dxa"/>
              <w:start w:w="0" w:type="dxa"/>
              <w:bottom w:w="0" w:type="dxa"/>
              <w:end w:w="0" w:type="dxa"/>
            </w:tcMar>
          </w:tcPr>
          <w:p>
            <w:pPr>
              <w:spacing w:after="0"/>
            </w:pPr>
          </w:p>
        </w:tc>
      </w:tr>
    </w:tbl>
    <w:tbl>
      <w:tblPr>
        <w:tblW w:type="auto" w:w="0"/>
        <w:jc w:val="center"/>
        <w:tblLayout w:type="fixed"/>
        <w:tblLook w:firstColumn="1" w:firstRow="1" w:lastColumn="0" w:lastRow="0" w:noHBand="0" w:noVBand="1" w:val="04A0"/>
      </w:tblPr>
      <w:tblGrid>
        <w:gridCol w:w="4925"/>
        <w:gridCol w:w="4925"/>
      </w:tblGrid>
      <w:tr>
        <w:trPr>
          <w:cantSplit/>
        </w:trPr>
        <w:tc>
          <w:tcPr>
            <w:tcW w:type="dxa" w:w="5083"/>
            <w:vAlign w:val="top"/>
            <w:shd w:fill="EAF4F4"/>
            <w:tcMar>
              <w:top w:w="105" w:type="dxa"/>
              <w:start w:w="115" w:type="dxa"/>
              <w:bottom w:w="95" w:type="dxa"/>
              <w:end w:w="115" w:type="dxa"/>
            </w:tcMar>
          </w:tcPr>
          <w:p>
            <w:pPr>
              <w:spacing w:after="40"/>
            </w:pPr>
            <w:r>
              <w:rPr>
                <w:b/>
                <w:color w:val="111111"/>
                <w:sz w:val="19"/>
              </w:rPr>
              <w:t>White House</w:t>
            </w:r>
          </w:p>
          <w:p>
            <w:pPr>
              <w:spacing w:after="40"/>
            </w:pPr>
            <w:r>
              <w:t>The September 25 China state-visit package created a Board of Trade and Investment, tariff recommendations, fentanyl-prevention steps, coal-purchase commitments and further critical-minerals and AI dialogue.</w:t>
            </w:r>
          </w:p>
          <w:p>
            <w:pPr>
              <w:pStyle w:val="SmallNote"/>
            </w:pPr>
            <w:hyperlink r:id="rId18">
              <w:r>
                <w:rPr>
                  <w:color w:val="168A8A"/>
                  <w:u w:val="single"/>
                </w:rPr>
                <w:t>White House fact sheet</w:t>
              </w:r>
            </w:hyperlink>
          </w:p>
        </w:tc>
        <w:tc>
          <w:tcPr>
            <w:tcW w:type="dxa" w:w="5083"/>
            <w:vAlign w:val="top"/>
            <w:shd w:fill="F3F5F7"/>
            <w:tcMar>
              <w:top w:w="105" w:type="dxa"/>
              <w:start w:w="115" w:type="dxa"/>
              <w:bottom w:w="95" w:type="dxa"/>
              <w:end w:w="115" w:type="dxa"/>
            </w:tcMar>
          </w:tcPr>
          <w:p>
            <w:pPr>
              <w:spacing w:after="40"/>
            </w:pPr>
            <w:r>
              <w:rPr>
                <w:b/>
                <w:color w:val="111111"/>
                <w:sz w:val="19"/>
              </w:rPr>
              <w:t>Defense</w:t>
            </w:r>
          </w:p>
          <w:p>
            <w:pPr>
              <w:spacing w:after="40"/>
            </w:pPr>
            <w:r>
              <w:t>The most important announced event is Tuesday’s Senate Armed Services hearing on Golden Dome. Monitor contract notices and the daily official contract release for executable demand.</w:t>
            </w:r>
          </w:p>
          <w:p>
            <w:pPr>
              <w:pStyle w:val="SmallNote"/>
            </w:pPr>
            <w:hyperlink r:id="rId23">
              <w:r>
                <w:rPr>
                  <w:color w:val="168A8A"/>
                  <w:u w:val="single"/>
                </w:rPr>
                <w:t>Defense contracts</w:t>
              </w:r>
            </w:hyperlink>
          </w:p>
        </w:tc>
      </w:tr>
      <w:tr>
        <w:trPr>
          <w:cantSplit/>
        </w:trPr>
        <w:tc>
          <w:tcPr>
            <w:tcW w:type="dxa" w:w="5083"/>
            <w:vAlign w:val="top"/>
            <w:shd w:fill="F3F5F7"/>
            <w:tcMar>
              <w:top w:w="105" w:type="dxa"/>
              <w:start w:w="115" w:type="dxa"/>
              <w:bottom w:w="95" w:type="dxa"/>
              <w:end w:w="115" w:type="dxa"/>
            </w:tcMar>
          </w:tcPr>
          <w:p>
            <w:pPr>
              <w:spacing w:after="40"/>
            </w:pPr>
            <w:r>
              <w:rPr>
                <w:b/>
                <w:color w:val="111111"/>
                <w:sz w:val="19"/>
              </w:rPr>
              <w:t>State</w:t>
            </w:r>
          </w:p>
          <w:p>
            <w:pPr>
              <w:spacing w:after="40"/>
            </w:pPr>
            <w:r>
              <w:t>Senate Foreign Relations has nominations Wednesday plus Nicaragua and Venezuela briefings. Watch for diplomatic or sanctions read-throughs in official releases.</w:t>
            </w:r>
          </w:p>
          <w:p>
            <w:pPr>
              <w:pStyle w:val="SmallNote"/>
            </w:pPr>
            <w:hyperlink r:id="rId24">
              <w:r>
                <w:rPr>
                  <w:color w:val="168A8A"/>
                  <w:u w:val="single"/>
                </w:rPr>
                <w:t>State releases</w:t>
              </w:r>
            </w:hyperlink>
          </w:p>
        </w:tc>
        <w:tc>
          <w:tcPr>
            <w:tcW w:type="dxa" w:w="5083"/>
            <w:vAlign w:val="top"/>
            <w:shd w:fill="EAF4F4"/>
            <w:tcMar>
              <w:top w:w="105" w:type="dxa"/>
              <w:start w:w="115" w:type="dxa"/>
              <w:bottom w:w="95" w:type="dxa"/>
              <w:end w:w="115" w:type="dxa"/>
            </w:tcMar>
          </w:tcPr>
          <w:p>
            <w:pPr>
              <w:spacing w:after="40"/>
            </w:pPr>
            <w:r>
              <w:rPr>
                <w:b/>
                <w:color w:val="111111"/>
                <w:sz w:val="19"/>
              </w:rPr>
              <w:t>Treasury</w:t>
            </w:r>
          </w:p>
          <w:p>
            <w:pPr>
              <w:spacing w:after="40"/>
            </w:pPr>
            <w:r>
              <w:t>Policy signals center on U.S.–China implementation and the Oct. 1 nomination hearing for an assistant secretary. Treasury’s market-conference remarks remain relevant to issuance and market structure.</w:t>
            </w:r>
          </w:p>
          <w:p>
            <w:pPr>
              <w:pStyle w:val="SmallNote"/>
            </w:pPr>
            <w:hyperlink r:id="rId25">
              <w:r>
                <w:rPr>
                  <w:color w:val="168A8A"/>
                  <w:u w:val="single"/>
                </w:rPr>
                <w:t>Treasury releases</w:t>
              </w:r>
            </w:hyperlink>
          </w:p>
        </w:tc>
      </w:tr>
      <w:tr>
        <w:trPr>
          <w:cantSplit/>
        </w:trPr>
        <w:tc>
          <w:tcPr>
            <w:tcW w:type="dxa" w:w="5083"/>
            <w:vAlign w:val="top"/>
            <w:shd w:fill="F3F5F7"/>
            <w:tcMar>
              <w:top w:w="105" w:type="dxa"/>
              <w:start w:w="115" w:type="dxa"/>
              <w:bottom w:w="95" w:type="dxa"/>
              <w:end w:w="115" w:type="dxa"/>
            </w:tcMar>
          </w:tcPr>
          <w:p>
            <w:pPr>
              <w:spacing w:after="40"/>
            </w:pPr>
            <w:r>
              <w:rPr>
                <w:b/>
                <w:color w:val="111111"/>
                <w:sz w:val="19"/>
              </w:rPr>
              <w:t>Justice</w:t>
            </w:r>
          </w:p>
          <w:p>
            <w:pPr>
              <w:spacing w:after="40"/>
            </w:pPr>
            <w:r>
              <w:t>DOJ announced the $25 million ANGEL grant opportunity and continued cybercrime, healthcare-fraud and national-security enforcement actions.</w:t>
            </w:r>
          </w:p>
          <w:p>
            <w:pPr>
              <w:pStyle w:val="SmallNote"/>
            </w:pPr>
            <w:hyperlink r:id="rId26">
              <w:r>
                <w:rPr>
                  <w:color w:val="168A8A"/>
                  <w:u w:val="single"/>
                </w:rPr>
                <w:t>DOJ releases</w:t>
              </w:r>
            </w:hyperlink>
          </w:p>
        </w:tc>
        <w:tc>
          <w:tcPr>
            <w:tcW w:type="dxa" w:w="5083"/>
            <w:vAlign w:val="top"/>
            <w:shd w:fill="F3F5F7"/>
            <w:tcMar>
              <w:top w:w="105" w:type="dxa"/>
              <w:start w:w="115" w:type="dxa"/>
              <w:bottom w:w="95" w:type="dxa"/>
              <w:end w:w="115" w:type="dxa"/>
            </w:tcMar>
          </w:tcPr>
          <w:p>
            <w:pPr>
              <w:spacing w:after="40"/>
            </w:pPr>
            <w:r>
              <w:rPr>
                <w:b/>
                <w:color w:val="111111"/>
                <w:sz w:val="19"/>
              </w:rPr>
              <w:t>Homeland Security</w:t>
            </w:r>
          </w:p>
          <w:p>
            <w:pPr>
              <w:spacing w:after="40"/>
            </w:pPr>
            <w:r>
              <w:t>Wednesday’s Senate hearing on securing the homeland against AI agents is the clearest announced policy signal. Track DHS releases and CISA advisories for operational guidance.</w:t>
            </w:r>
          </w:p>
          <w:p>
            <w:pPr>
              <w:pStyle w:val="SmallNote"/>
            </w:pPr>
            <w:hyperlink r:id="rId27">
              <w:r>
                <w:rPr>
                  <w:color w:val="168A8A"/>
                  <w:u w:val="single"/>
                </w:rPr>
                <w:t>DHS releases</w:t>
              </w:r>
            </w:hyperlink>
          </w:p>
        </w:tc>
      </w:tr>
      <w:tr>
        <w:trPr>
          <w:cantSplit/>
        </w:trPr>
        <w:tc>
          <w:tcPr>
            <w:tcW w:type="dxa" w:w="5083"/>
            <w:vAlign w:val="top"/>
            <w:shd w:fill="EAF4F4"/>
            <w:tcMar>
              <w:top w:w="105" w:type="dxa"/>
              <w:start w:w="115" w:type="dxa"/>
              <w:bottom w:w="95" w:type="dxa"/>
              <w:end w:w="115" w:type="dxa"/>
            </w:tcMar>
          </w:tcPr>
          <w:p>
            <w:pPr>
              <w:spacing w:after="40"/>
            </w:pPr>
            <w:r>
              <w:rPr>
                <w:b/>
                <w:color w:val="111111"/>
                <w:sz w:val="19"/>
              </w:rPr>
              <w:t>Veterans Affairs</w:t>
            </w:r>
          </w:p>
          <w:p>
            <w:pPr>
              <w:spacing w:after="40"/>
            </w:pPr>
            <w:r>
              <w:t>VA reported reaching three million FY2026 disability-benefit claims processed by Sept. 18. The milestone is an agency claim and should be read with future timeliness and accuracy metrics.</w:t>
            </w:r>
          </w:p>
          <w:p>
            <w:pPr>
              <w:pStyle w:val="SmallNote"/>
            </w:pPr>
            <w:hyperlink r:id="rId28">
              <w:r>
                <w:rPr>
                  <w:color w:val="168A8A"/>
                  <w:u w:val="single"/>
                </w:rPr>
                <w:t>VA newsroom</w:t>
              </w:r>
            </w:hyperlink>
          </w:p>
        </w:tc>
        <w:tc>
          <w:tcPr>
            <w:tcW w:type="dxa" w:w="5083"/>
            <w:vAlign w:val="top"/>
            <w:shd w:fill="F3F5F7"/>
            <w:tcMar>
              <w:top w:w="105" w:type="dxa"/>
              <w:start w:w="115" w:type="dxa"/>
              <w:bottom w:w="95" w:type="dxa"/>
              <w:end w:w="115" w:type="dxa"/>
            </w:tcMar>
          </w:tcPr>
          <w:p>
            <w:pPr>
              <w:spacing w:after="40"/>
            </w:pPr>
            <w:r>
              <w:rPr>
                <w:b/>
                <w:color w:val="111111"/>
                <w:sz w:val="19"/>
              </w:rPr>
              <w:t>Federal judiciary</w:t>
            </w:r>
          </w:p>
          <w:p>
            <w:pPr>
              <w:spacing w:after="40"/>
            </w:pPr>
            <w:r>
              <w:t>No regular Supreme Court arguments this week. The October Term begins Oct. 5.</w:t>
            </w:r>
          </w:p>
          <w:p>
            <w:pPr>
              <w:pStyle w:val="SmallNote"/>
            </w:pPr>
            <w:hyperlink r:id="rId29">
              <w:r>
                <w:rPr>
                  <w:color w:val="168A8A"/>
                  <w:u w:val="single"/>
                </w:rPr>
                <w:t>Supreme Court</w:t>
              </w:r>
            </w:hyperlink>
          </w:p>
        </w:tc>
      </w:tr>
    </w:tbl>
    <w:p>
      <w:r>
        <w:br w:type="page"/>
      </w:r>
    </w:p>
    <w:p>
      <w:pPr>
        <w:pStyle w:val="BriefLabel"/>
      </w:pPr>
      <w:r>
        <w:t>DOMESTIC DEPARTMENTS</w:t>
      </w:r>
    </w:p>
    <w:p>
      <w:pPr>
        <w:pStyle w:val="Heading1"/>
        <w:keepNext/>
      </w:pPr>
      <w:r>
        <w:t>Executive Branch Scan II</w:t>
      </w:r>
    </w:p>
    <w:tbl>
      <w:tblPr>
        <w:tblW w:type="auto" w:w="0"/>
        <w:jc w:val="left"/>
        <w:tblLook w:firstColumn="1" w:firstRow="1" w:lastColumn="0" w:lastRow="0" w:noHBand="0" w:noVBand="1" w:val="04A0"/>
      </w:tblPr>
      <w:tblGrid>
        <w:gridCol w:w="10152"/>
      </w:tblGrid>
      <w:tr>
        <w:trPr>
          <w:trHeight w:val="100"/>
          <w:cantSplit/>
        </w:trPr>
        <w:tc>
          <w:tcPr>
            <w:tcW w:type="dxa" w:w="10166"/>
            <w:shd w:fill="168A8A"/>
            <w:tcMar>
              <w:top w:w="0" w:type="dxa"/>
              <w:start w:w="0" w:type="dxa"/>
              <w:bottom w:w="0" w:type="dxa"/>
              <w:end w:w="0" w:type="dxa"/>
            </w:tcMar>
          </w:tcPr>
          <w:p>
            <w:pPr>
              <w:spacing w:after="0"/>
            </w:pPr>
          </w:p>
        </w:tc>
      </w:tr>
    </w:tbl>
    <w:tbl>
      <w:tblPr>
        <w:tblW w:type="auto" w:w="0"/>
        <w:jc w:val="center"/>
        <w:tblLayout w:type="fixed"/>
        <w:tblLook w:firstColumn="1" w:firstRow="1" w:lastColumn="0" w:lastRow="0" w:noHBand="0" w:noVBand="1" w:val="04A0"/>
      </w:tblPr>
      <w:tblGrid>
        <w:gridCol w:w="4925"/>
        <w:gridCol w:w="4925"/>
      </w:tblGrid>
      <w:tr>
        <w:trPr>
          <w:cantSplit/>
        </w:trPr>
        <w:tc>
          <w:tcPr>
            <w:tcW w:type="dxa" w:w="5083"/>
            <w:vAlign w:val="top"/>
            <w:shd w:fill="EAF4F4"/>
            <w:tcMar>
              <w:top w:w="105" w:type="dxa"/>
              <w:start w:w="115" w:type="dxa"/>
              <w:bottom w:w="95" w:type="dxa"/>
              <w:end w:w="115" w:type="dxa"/>
            </w:tcMar>
          </w:tcPr>
          <w:p>
            <w:pPr>
              <w:spacing w:after="40"/>
            </w:pPr>
            <w:r>
              <w:rPr>
                <w:b/>
                <w:color w:val="111111"/>
                <w:sz w:val="19"/>
              </w:rPr>
              <w:t>Interior</w:t>
            </w:r>
          </w:p>
          <w:p>
            <w:pPr>
              <w:spacing w:after="40"/>
            </w:pPr>
            <w:r>
              <w:t>Expanded review of the Prairie Pothole wetland-easement pilot and new conservation-access council appointments are the week’s confirmed signals.</w:t>
            </w:r>
          </w:p>
          <w:p>
            <w:pPr>
              <w:pStyle w:val="SmallNote"/>
            </w:pPr>
            <w:hyperlink r:id="rId30">
              <w:r>
                <w:rPr>
                  <w:color w:val="168A8A"/>
                  <w:u w:val="single"/>
                </w:rPr>
                <w:t>Interior news</w:t>
              </w:r>
            </w:hyperlink>
          </w:p>
        </w:tc>
        <w:tc>
          <w:tcPr>
            <w:tcW w:type="dxa" w:w="5083"/>
            <w:vAlign w:val="top"/>
            <w:shd w:fill="F3F5F7"/>
            <w:tcMar>
              <w:top w:w="105" w:type="dxa"/>
              <w:start w:w="115" w:type="dxa"/>
              <w:bottom w:w="95" w:type="dxa"/>
              <w:end w:w="115" w:type="dxa"/>
            </w:tcMar>
          </w:tcPr>
          <w:p>
            <w:pPr>
              <w:spacing w:after="40"/>
            </w:pPr>
            <w:r>
              <w:rPr>
                <w:b/>
                <w:color w:val="111111"/>
                <w:sz w:val="19"/>
              </w:rPr>
              <w:t>Agriculture</w:t>
            </w:r>
          </w:p>
          <w:p>
            <w:pPr>
              <w:spacing w:after="40"/>
            </w:pPr>
            <w:r>
              <w:t>USDA announced companion-animal welfare and oversight actions. Agricultural exporters should also monitor implementation of the China trade package.</w:t>
            </w:r>
          </w:p>
          <w:p>
            <w:pPr>
              <w:pStyle w:val="SmallNote"/>
            </w:pPr>
            <w:hyperlink r:id="rId31">
              <w:r>
                <w:rPr>
                  <w:color w:val="168A8A"/>
                  <w:u w:val="single"/>
                </w:rPr>
                <w:t>USDA releases</w:t>
              </w:r>
            </w:hyperlink>
          </w:p>
        </w:tc>
      </w:tr>
      <w:tr>
        <w:trPr>
          <w:cantSplit/>
        </w:trPr>
        <w:tc>
          <w:tcPr>
            <w:tcW w:type="dxa" w:w="5083"/>
            <w:vAlign w:val="top"/>
            <w:shd w:fill="F3F5F7"/>
            <w:tcMar>
              <w:top w:w="105" w:type="dxa"/>
              <w:start w:w="115" w:type="dxa"/>
              <w:bottom w:w="95" w:type="dxa"/>
              <w:end w:w="115" w:type="dxa"/>
            </w:tcMar>
          </w:tcPr>
          <w:p>
            <w:pPr>
              <w:spacing w:after="40"/>
            </w:pPr>
            <w:r>
              <w:rPr>
                <w:b/>
                <w:color w:val="111111"/>
                <w:sz w:val="19"/>
              </w:rPr>
              <w:t>Commerce</w:t>
            </w:r>
          </w:p>
          <w:p>
            <w:pPr>
              <w:spacing w:after="40"/>
            </w:pPr>
            <w:r>
              <w:t>The USPTO oversight hearing and a dense Census release calendar make IP administration and economic measurement the principal near-term signals.</w:t>
            </w:r>
          </w:p>
          <w:p>
            <w:pPr>
              <w:pStyle w:val="SmallNote"/>
            </w:pPr>
            <w:hyperlink r:id="rId32">
              <w:r>
                <w:rPr>
                  <w:color w:val="168A8A"/>
                  <w:u w:val="single"/>
                </w:rPr>
                <w:t>Commerce news</w:t>
              </w:r>
            </w:hyperlink>
          </w:p>
        </w:tc>
        <w:tc>
          <w:tcPr>
            <w:tcW w:type="dxa" w:w="5083"/>
            <w:vAlign w:val="top"/>
            <w:shd w:fill="EAF4F4"/>
            <w:tcMar>
              <w:top w:w="105" w:type="dxa"/>
              <w:start w:w="115" w:type="dxa"/>
              <w:bottom w:w="95" w:type="dxa"/>
              <w:end w:w="115" w:type="dxa"/>
            </w:tcMar>
          </w:tcPr>
          <w:p>
            <w:pPr>
              <w:spacing w:after="40"/>
            </w:pPr>
            <w:r>
              <w:rPr>
                <w:b/>
                <w:color w:val="111111"/>
                <w:sz w:val="19"/>
              </w:rPr>
              <w:t>Labor</w:t>
            </w:r>
          </w:p>
          <w:p>
            <w:pPr>
              <w:spacing w:after="40"/>
            </w:pPr>
            <w:r>
              <w:t>JOLTS arrives Tuesday; metropolitan employment Wednesday; the September Employment Situation Friday.</w:t>
            </w:r>
          </w:p>
          <w:p>
            <w:pPr>
              <w:pStyle w:val="SmallNote"/>
            </w:pPr>
            <w:hyperlink r:id="rId19">
              <w:r>
                <w:rPr>
                  <w:color w:val="168A8A"/>
                  <w:u w:val="single"/>
                </w:rPr>
                <w:t>BLS calendar</w:t>
              </w:r>
            </w:hyperlink>
          </w:p>
        </w:tc>
      </w:tr>
      <w:tr>
        <w:trPr>
          <w:cantSplit/>
        </w:trPr>
        <w:tc>
          <w:tcPr>
            <w:tcW w:type="dxa" w:w="5083"/>
            <w:vAlign w:val="top"/>
            <w:shd w:fill="F3F5F7"/>
            <w:tcMar>
              <w:top w:w="105" w:type="dxa"/>
              <w:start w:w="115" w:type="dxa"/>
              <w:bottom w:w="95" w:type="dxa"/>
              <w:end w:w="115" w:type="dxa"/>
            </w:tcMar>
          </w:tcPr>
          <w:p>
            <w:pPr>
              <w:spacing w:after="40"/>
            </w:pPr>
            <w:r>
              <w:rPr>
                <w:b/>
                <w:color w:val="111111"/>
                <w:sz w:val="19"/>
              </w:rPr>
              <w:t>Health and Human Services</w:t>
            </w:r>
          </w:p>
          <w:p>
            <w:pPr>
              <w:spacing w:after="40"/>
            </w:pPr>
            <w:r>
              <w:t>HHS announced nearly $250 million for addiction, overdose prevention and mental health, plus procurement modernization covering thousands of contracts.</w:t>
            </w:r>
          </w:p>
          <w:p>
            <w:pPr>
              <w:pStyle w:val="SmallNote"/>
            </w:pPr>
            <w:hyperlink r:id="rId33">
              <w:r>
                <w:rPr>
                  <w:color w:val="168A8A"/>
                  <w:u w:val="single"/>
                </w:rPr>
                <w:t>HHS releases</w:t>
              </w:r>
            </w:hyperlink>
          </w:p>
        </w:tc>
        <w:tc>
          <w:tcPr>
            <w:tcW w:type="dxa" w:w="5083"/>
            <w:vAlign w:val="top"/>
            <w:shd w:fill="F3F5F7"/>
            <w:tcMar>
              <w:top w:w="105" w:type="dxa"/>
              <w:start w:w="115" w:type="dxa"/>
              <w:bottom w:w="95" w:type="dxa"/>
              <w:end w:w="115" w:type="dxa"/>
            </w:tcMar>
          </w:tcPr>
          <w:p>
            <w:pPr>
              <w:spacing w:after="40"/>
            </w:pPr>
            <w:r>
              <w:rPr>
                <w:b/>
                <w:color w:val="111111"/>
                <w:sz w:val="19"/>
              </w:rPr>
              <w:t>Housing and Urban Development</w:t>
            </w:r>
          </w:p>
          <w:p>
            <w:pPr>
              <w:spacing w:after="40"/>
            </w:pPr>
            <w:r>
              <w:t>HUD highlighted innovative housing and Fair Housing Act enforcement; an assistant-secretary nomination is before Senate Banking Thursday.</w:t>
            </w:r>
          </w:p>
          <w:p>
            <w:pPr>
              <w:pStyle w:val="SmallNote"/>
            </w:pPr>
            <w:hyperlink r:id="rId34">
              <w:r>
                <w:rPr>
                  <w:color w:val="168A8A"/>
                  <w:u w:val="single"/>
                </w:rPr>
                <w:t>HUD news</w:t>
              </w:r>
            </w:hyperlink>
          </w:p>
        </w:tc>
      </w:tr>
      <w:tr>
        <w:trPr>
          <w:cantSplit/>
        </w:trPr>
        <w:tc>
          <w:tcPr>
            <w:tcW w:type="dxa" w:w="5083"/>
            <w:vAlign w:val="top"/>
            <w:shd w:fill="EAF4F4"/>
            <w:tcMar>
              <w:top w:w="105" w:type="dxa"/>
              <w:start w:w="115" w:type="dxa"/>
              <w:bottom w:w="95" w:type="dxa"/>
              <w:end w:w="115" w:type="dxa"/>
            </w:tcMar>
          </w:tcPr>
          <w:p>
            <w:pPr>
              <w:spacing w:after="40"/>
            </w:pPr>
            <w:r>
              <w:rPr>
                <w:b/>
                <w:color w:val="111111"/>
                <w:sz w:val="19"/>
              </w:rPr>
              <w:t>Transportation</w:t>
            </w:r>
          </w:p>
          <w:p>
            <w:pPr>
              <w:spacing w:after="40"/>
            </w:pPr>
            <w:r>
              <w:t>Two aviation-workforce health and medication-transparency bills passed the Senate by unanimous consent. Monitor FAA and DOT implementation if enacted.</w:t>
            </w:r>
          </w:p>
          <w:p>
            <w:pPr>
              <w:pStyle w:val="SmallNote"/>
            </w:pPr>
            <w:hyperlink r:id="rId35">
              <w:r>
                <w:rPr>
                  <w:color w:val="168A8A"/>
                  <w:u w:val="single"/>
                </w:rPr>
                <w:t>DOT briefing room</w:t>
              </w:r>
            </w:hyperlink>
          </w:p>
        </w:tc>
        <w:tc>
          <w:tcPr>
            <w:tcW w:type="dxa" w:w="5083"/>
            <w:vAlign w:val="top"/>
            <w:shd w:fill="F3F5F7"/>
            <w:tcMar>
              <w:top w:w="105" w:type="dxa"/>
              <w:start w:w="115" w:type="dxa"/>
              <w:bottom w:w="95" w:type="dxa"/>
              <w:end w:w="115" w:type="dxa"/>
            </w:tcMar>
          </w:tcPr>
          <w:p>
            <w:pPr>
              <w:spacing w:after="40"/>
            </w:pPr>
            <w:r>
              <w:rPr>
                <w:b/>
                <w:color w:val="111111"/>
                <w:sz w:val="19"/>
              </w:rPr>
              <w:t>Energy</w:t>
            </w:r>
          </w:p>
          <w:p>
            <w:pPr>
              <w:spacing w:after="40"/>
            </w:pPr>
            <w:r>
              <w:t>DOE announced grid-capacity investments across 26 states and selected 21 geothermal projects for $99 million in award negotiations. Selections are not final awards.</w:t>
            </w:r>
          </w:p>
          <w:p>
            <w:pPr>
              <w:pStyle w:val="SmallNote"/>
            </w:pPr>
            <w:hyperlink r:id="rId36">
              <w:r>
                <w:rPr>
                  <w:color w:val="168A8A"/>
                  <w:u w:val="single"/>
                </w:rPr>
                <w:t>DOE newsroom</w:t>
              </w:r>
            </w:hyperlink>
          </w:p>
        </w:tc>
      </w:tr>
      <w:tr>
        <w:trPr>
          <w:cantSplit/>
        </w:trPr>
        <w:tc>
          <w:tcPr>
            <w:tcW w:type="dxa" w:w="5083"/>
            <w:vAlign w:val="top"/>
            <w:shd w:fill="F3F5F7"/>
            <w:tcMar>
              <w:top w:w="105" w:type="dxa"/>
              <w:start w:w="115" w:type="dxa"/>
              <w:bottom w:w="95" w:type="dxa"/>
              <w:end w:w="115" w:type="dxa"/>
            </w:tcMar>
          </w:tcPr>
          <w:p>
            <w:pPr>
              <w:spacing w:after="40"/>
            </w:pPr>
            <w:r>
              <w:rPr>
                <w:b/>
                <w:color w:val="111111"/>
                <w:sz w:val="19"/>
              </w:rPr>
              <w:t>Education</w:t>
            </w:r>
          </w:p>
          <w:p>
            <w:pPr>
              <w:spacing w:after="40"/>
            </w:pPr>
            <w:r>
              <w:t>No high-impact department release was verified for this edition. Watch the official newsroom and Federal Register for program and student-aid actions.</w:t>
            </w:r>
          </w:p>
          <w:p>
            <w:pPr>
              <w:pStyle w:val="SmallNote"/>
            </w:pPr>
            <w:hyperlink r:id="rId37">
              <w:r>
                <w:rPr>
                  <w:color w:val="168A8A"/>
                  <w:u w:val="single"/>
                </w:rPr>
                <w:t>Education news</w:t>
              </w:r>
            </w:hyperlink>
          </w:p>
        </w:tc>
        <w:tc>
          <w:tcPr>
            <w:tcW w:type="dxa" w:w="5083"/>
            <w:vAlign w:val="top"/>
            <w:shd w:fill="EAF4F4"/>
            <w:tcMar>
              <w:top w:w="105" w:type="dxa"/>
              <w:start w:w="115" w:type="dxa"/>
              <w:bottom w:w="95" w:type="dxa"/>
              <w:end w:w="115" w:type="dxa"/>
            </w:tcMar>
          </w:tcPr>
          <w:p>
            <w:pPr>
              <w:spacing w:after="40"/>
            </w:pPr>
            <w:r>
              <w:rPr>
                <w:b/>
                <w:color w:val="111111"/>
                <w:sz w:val="19"/>
              </w:rPr>
              <w:t>Environmental Protection Agency</w:t>
            </w:r>
          </w:p>
          <w:p>
            <w:pPr>
              <w:spacing w:after="40"/>
            </w:pPr>
            <w:r>
              <w:t>EPA and HHS announced a joint review partnership concerning glyphosate; implementation and scientific-review milestones bear watching.</w:t>
            </w:r>
          </w:p>
          <w:p>
            <w:pPr>
              <w:pStyle w:val="SmallNote"/>
            </w:pPr>
            <w:hyperlink r:id="rId38">
              <w:r>
                <w:rPr>
                  <w:color w:val="168A8A"/>
                  <w:u w:val="single"/>
                </w:rPr>
                <w:t>EPA newsroom</w:t>
              </w:r>
            </w:hyperlink>
          </w:p>
        </w:tc>
      </w:tr>
      <w:tr>
        <w:trPr>
          <w:cantSplit/>
        </w:trPr>
        <w:tc>
          <w:tcPr>
            <w:tcW w:type="dxa" w:w="5083"/>
            <w:vAlign w:val="top"/>
            <w:shd w:fill="F3F5F7"/>
            <w:tcMar>
              <w:top w:w="105" w:type="dxa"/>
              <w:start w:w="115" w:type="dxa"/>
              <w:bottom w:w="95" w:type="dxa"/>
              <w:end w:w="115" w:type="dxa"/>
            </w:tcMar>
          </w:tcPr>
          <w:p>
            <w:pPr>
              <w:spacing w:after="40"/>
            </w:pPr>
            <w:r>
              <w:rPr>
                <w:b/>
                <w:color w:val="111111"/>
                <w:sz w:val="19"/>
              </w:rPr>
              <w:t>Small Business Administration</w:t>
            </w:r>
          </w:p>
          <w:p>
            <w:pPr>
              <w:spacing w:after="40"/>
            </w:pPr>
            <w:r>
              <w:t>No major new action was elevated in this edition. Small businesses should scan federal opportunities and agency procurement forecasts.</w:t>
            </w:r>
          </w:p>
          <w:p>
            <w:pPr>
              <w:pStyle w:val="SmallNote"/>
            </w:pPr>
            <w:hyperlink r:id="rId39">
              <w:r>
                <w:rPr>
                  <w:color w:val="168A8A"/>
                  <w:u w:val="single"/>
                </w:rPr>
                <w:t>SBA news</w:t>
              </w:r>
            </w:hyperlink>
          </w:p>
        </w:tc>
        <w:tc>
          <w:tcPr>
            <w:tcW w:type="dxa" w:w="5083"/>
            <w:vAlign w:val="top"/>
            <w:shd w:fill="F3F5F7"/>
            <w:tcMar>
              <w:top w:w="105" w:type="dxa"/>
              <w:start w:w="115" w:type="dxa"/>
              <w:bottom w:w="95" w:type="dxa"/>
              <w:end w:w="115" w:type="dxa"/>
            </w:tcMar>
          </w:tcPr>
          <w:p>
            <w:pPr>
              <w:spacing w:after="40"/>
            </w:pPr>
            <w:r>
              <w:rPr>
                <w:b/>
                <w:color w:val="111111"/>
                <w:sz w:val="19"/>
              </w:rPr>
              <w:t>Other federal offices</w:t>
            </w:r>
          </w:p>
          <w:p>
            <w:pPr>
              <w:spacing w:after="40"/>
            </w:pPr>
            <w:r>
              <w:t>OMB, GSA, the Federal Reserve and independent regulators remain relevant to acquisition, management and economic implementation.</w:t>
            </w:r>
          </w:p>
          <w:p>
            <w:pPr>
              <w:pStyle w:val="SmallNote"/>
            </w:pPr>
            <w:hyperlink r:id="rId12">
              <w:r>
                <w:rPr>
                  <w:color w:val="168A8A"/>
                  <w:u w:val="single"/>
                </w:rPr>
                <w:t>Federal Register</w:t>
              </w:r>
            </w:hyperlink>
          </w:p>
        </w:tc>
      </w:tr>
    </w:tbl>
    <w:p>
      <w:r>
        <w:br w:type="page"/>
      </w:r>
    </w:p>
    <w:p>
      <w:pPr>
        <w:pStyle w:val="BriefLabel"/>
      </w:pPr>
      <w:r>
        <w:t>CROSS-CUTTING DEVELOPMENTS</w:t>
      </w:r>
    </w:p>
    <w:p>
      <w:pPr>
        <w:pStyle w:val="Heading1"/>
        <w:keepNext/>
      </w:pPr>
      <w:r>
        <w:t>Technology, Security, Economy &amp; Space</w:t>
      </w:r>
    </w:p>
    <w:tbl>
      <w:tblPr>
        <w:tblW w:type="auto" w:w="0"/>
        <w:jc w:val="left"/>
        <w:tblLook w:firstColumn="1" w:firstRow="1" w:lastColumn="0" w:lastRow="0" w:noHBand="0" w:noVBand="1" w:val="04A0"/>
      </w:tblPr>
      <w:tblGrid>
        <w:gridCol w:w="10152"/>
      </w:tblGrid>
      <w:tr>
        <w:trPr>
          <w:trHeight w:val="100"/>
          <w:cantSplit/>
        </w:trPr>
        <w:tc>
          <w:tcPr>
            <w:tcW w:type="dxa" w:w="10166"/>
            <w:shd w:fill="168A8A"/>
            <w:tcMar>
              <w:top w:w="0" w:type="dxa"/>
              <w:start w:w="0" w:type="dxa"/>
              <w:bottom w:w="0" w:type="dxa"/>
              <w:end w:w="0" w:type="dxa"/>
            </w:tcMar>
          </w:tcPr>
          <w:p>
            <w:pPr>
              <w:spacing w:after="0"/>
            </w:pPr>
          </w:p>
        </w:tc>
      </w:tr>
    </w:tbl>
    <w:p>
      <w:pPr>
        <w:pStyle w:val="Heading2"/>
        <w:keepNext/>
      </w:pPr>
      <w:r>
        <w:t>Technology and artificial intelligence</w:t>
      </w:r>
    </w:p>
    <w:p>
      <w:pPr>
        <w:ind w:left="230" w:hanging="187"/>
      </w:pPr>
      <w:r>
        <w:rPr>
          <w:b/>
          <w:color w:val="D5A021"/>
        </w:rPr>
        <w:t xml:space="preserve">• </w:t>
      </w:r>
      <w:r>
        <w:rPr>
          <w:b/>
          <w:color w:val="111111"/>
        </w:rPr>
        <w:t xml:space="preserve">ANNOUNCED — </w:t>
      </w:r>
      <w:r>
        <w:t>The Senate’s “rogue AI” hearing reframes AI agents as an operational homeland-security concern, elevating identity, authorization, monitoring, red-teaming and incident-response controls.</w:t>
      </w:r>
      <w:r>
        <w:t xml:space="preserve">  </w:t>
      </w:r>
      <w:hyperlink r:id="rId16">
        <w:r>
          <w:rPr>
            <w:color w:val="168A8A"/>
            <w:u w:val="single"/>
          </w:rPr>
          <w:t>Senate committees</w:t>
        </w:r>
      </w:hyperlink>
    </w:p>
    <w:p>
      <w:pPr>
        <w:ind w:left="230" w:hanging="187"/>
      </w:pPr>
      <w:r>
        <w:rPr>
          <w:b/>
          <w:color w:val="D5A021"/>
        </w:rPr>
        <w:t xml:space="preserve">• </w:t>
      </w:r>
      <w:r>
        <w:rPr>
          <w:b/>
          <w:color w:val="111111"/>
        </w:rPr>
        <w:t xml:space="preserve">CONFIRMED — </w:t>
      </w:r>
      <w:r>
        <w:t>The U.S.–China package calls for a “Super Intelligence” dialogue and an incident channel, with the next exchange expected by November 2026.</w:t>
      </w:r>
      <w:r>
        <w:t xml:space="preserve">  </w:t>
      </w:r>
      <w:hyperlink r:id="rId18">
        <w:r>
          <w:rPr>
            <w:color w:val="168A8A"/>
            <w:u w:val="single"/>
          </w:rPr>
          <w:t>White House fact sheet</w:t>
        </w:r>
      </w:hyperlink>
    </w:p>
    <w:p>
      <w:pPr>
        <w:pStyle w:val="Heading2"/>
        <w:keepNext/>
      </w:pPr>
      <w:r>
        <w:t>Energy and infrastructure</w:t>
      </w:r>
    </w:p>
    <w:p>
      <w:pPr>
        <w:ind w:left="230" w:hanging="187"/>
      </w:pPr>
      <w:r>
        <w:rPr>
          <w:b/>
          <w:color w:val="D5A021"/>
        </w:rPr>
        <w:t xml:space="preserve">• </w:t>
      </w:r>
      <w:r>
        <w:rPr>
          <w:b/>
          <w:color w:val="111111"/>
        </w:rPr>
        <w:t xml:space="preserve">CONFIRMED — </w:t>
      </w:r>
      <w:r>
        <w:t>DOE’s SPARK investments span 26 states and are intended to unlock more than 20 gigawatts of grid capacity. The initiative is supported through the Grid Resilience and Innovation Partnerships program.</w:t>
      </w:r>
      <w:r>
        <w:t xml:space="preserve">  </w:t>
      </w:r>
      <w:hyperlink r:id="rId40">
        <w:r>
          <w:rPr>
            <w:color w:val="168A8A"/>
            <w:u w:val="single"/>
          </w:rPr>
          <w:t>DOE SPARK</w:t>
        </w:r>
      </w:hyperlink>
    </w:p>
    <w:p>
      <w:pPr>
        <w:ind w:left="230" w:hanging="187"/>
      </w:pPr>
      <w:r>
        <w:rPr>
          <w:b/>
          <w:color w:val="D5A021"/>
        </w:rPr>
        <w:t xml:space="preserve">• </w:t>
      </w:r>
      <w:r>
        <w:rPr>
          <w:b/>
          <w:color w:val="111111"/>
        </w:rPr>
        <w:t xml:space="preserve">CONFIRMED — </w:t>
      </w:r>
      <w:r>
        <w:t>DOE selected 21 geothermal projects for $99 million in award negotiations; the agency states that selections are subject to negotiations and are not final funding commitments.</w:t>
      </w:r>
      <w:r>
        <w:t xml:space="preserve">  </w:t>
      </w:r>
      <w:hyperlink r:id="rId41">
        <w:r>
          <w:rPr>
            <w:color w:val="168A8A"/>
            <w:u w:val="single"/>
          </w:rPr>
          <w:t>DOE geothermal</w:t>
        </w:r>
      </w:hyperlink>
    </w:p>
    <w:p>
      <w:pPr>
        <w:pStyle w:val="Heading2"/>
        <w:keepNext/>
      </w:pPr>
      <w:r>
        <w:t>Space</w:t>
      </w:r>
    </w:p>
    <w:p>
      <w:pPr>
        <w:ind w:left="230" w:hanging="187"/>
      </w:pPr>
      <w:r>
        <w:rPr>
          <w:b/>
          <w:color w:val="D5A021"/>
        </w:rPr>
        <w:t xml:space="preserve">• </w:t>
      </w:r>
      <w:r>
        <w:rPr>
          <w:b/>
          <w:color w:val="111111"/>
        </w:rPr>
        <w:t xml:space="preserve">ANNOUNCED — </w:t>
      </w:r>
      <w:r>
        <w:t>NASA and Boeing scheduled a Starliner development and regular crew-flight update for Monday at 3:00 p.m. EDT. NASA also announced Crew-14 assignments and selected a far-infrared telescope mission during the prior week.</w:t>
      </w:r>
      <w:r>
        <w:t xml:space="preserve">  </w:t>
      </w:r>
      <w:hyperlink r:id="rId42">
        <w:r>
          <w:rPr>
            <w:color w:val="168A8A"/>
            <w:u w:val="single"/>
          </w:rPr>
          <w:t>NASA Starliner briefing</w:t>
        </w:r>
      </w:hyperlink>
    </w:p>
    <w:p>
      <w:pPr>
        <w:pStyle w:val="Heading2"/>
        <w:keepNext/>
      </w:pPr>
      <w:r>
        <w:t>Economic pulse</w:t>
      </w:r>
    </w:p>
    <w:p>
      <w:pPr>
        <w:ind w:left="230" w:hanging="187"/>
      </w:pPr>
      <w:r>
        <w:rPr>
          <w:b/>
          <w:color w:val="D5A021"/>
        </w:rPr>
        <w:t xml:space="preserve">• </w:t>
      </w:r>
      <w:r>
        <w:rPr>
          <w:b/>
          <w:color w:val="111111"/>
        </w:rPr>
        <w:t xml:space="preserve">ANALYSIS — </w:t>
      </w:r>
      <w:r>
        <w:t>The week’s data sequence—job openings, GDP, income and spending, construction, factory orders and payrolls—will give a broad read on demand, hiring and investment. Treat direction and magnitude as unknown until official releases publish.</w:t>
      </w:r>
      <w:r>
        <w:t xml:space="preserve">  </w:t>
      </w:r>
      <w:hyperlink r:id="rId43">
        <w:r>
          <w:rPr>
            <w:color w:val="168A8A"/>
            <w:u w:val="single"/>
          </w:rPr>
          <w:t>BEA schedule</w:t>
        </w:r>
      </w:hyperlink>
    </w:p>
    <w:p>
      <w:r>
        <w:br w:type="page"/>
      </w:r>
    </w:p>
    <w:p>
      <w:pPr>
        <w:pStyle w:val="BriefLabel"/>
      </w:pPr>
      <w:r>
        <w:t>ACTIONABLE PUBLIC-SOURCE WATCHLIST</w:t>
      </w:r>
    </w:p>
    <w:p>
      <w:pPr>
        <w:pStyle w:val="Heading1"/>
        <w:keepNext/>
      </w:pPr>
      <w:r>
        <w:t>Grants &amp; Contracting Opportunities</w:t>
      </w:r>
    </w:p>
    <w:tbl>
      <w:tblPr>
        <w:tblW w:type="auto" w:w="0"/>
        <w:jc w:val="left"/>
        <w:tblLook w:firstColumn="1" w:firstRow="1" w:lastColumn="0" w:lastRow="0" w:noHBand="0" w:noVBand="1" w:val="04A0"/>
      </w:tblPr>
      <w:tblGrid>
        <w:gridCol w:w="10152"/>
      </w:tblGrid>
      <w:tr>
        <w:trPr>
          <w:trHeight w:val="100"/>
          <w:cantSplit/>
        </w:trPr>
        <w:tc>
          <w:tcPr>
            <w:tcW w:type="dxa" w:w="10166"/>
            <w:shd w:fill="168A8A"/>
            <w:tcMar>
              <w:top w:w="0" w:type="dxa"/>
              <w:start w:w="0" w:type="dxa"/>
              <w:bottom w:w="0" w:type="dxa"/>
              <w:end w:w="0" w:type="dxa"/>
            </w:tcMar>
          </w:tcPr>
          <w:p>
            <w:pPr>
              <w:spacing w:after="0"/>
            </w:pPr>
          </w:p>
        </w:tc>
      </w:tr>
    </w:tbl>
    <w:tbl>
      <w:tblPr>
        <w:tblW w:type="auto" w:w="0"/>
        <w:jc w:val="center"/>
        <w:tblLayout w:type="fixed"/>
        <w:tblLook w:firstColumn="1" w:firstRow="1" w:lastColumn="0" w:lastRow="0" w:noHBand="0" w:noVBand="1" w:val="04A0"/>
      </w:tblPr>
      <w:tblGrid>
        <w:gridCol w:w="10008"/>
      </w:tblGrid>
      <w:tr>
        <w:trPr>
          <w:cantSplit/>
        </w:trPr>
        <w:tc>
          <w:tcPr>
            <w:tcW w:type="dxa" w:w="10166"/>
            <w:shd w:fill="EAF4F4"/>
            <w:tcMar>
              <w:top w:w="120" w:type="dxa"/>
              <w:start w:w="140" w:type="dxa"/>
              <w:bottom w:w="105" w:type="dxa"/>
              <w:end w:w="140" w:type="dxa"/>
            </w:tcMar>
          </w:tcPr>
          <w:p>
            <w:pPr>
              <w:spacing w:after="60"/>
            </w:pPr>
            <w:r>
              <w:rPr>
                <w:b/>
                <w:color w:val="111111"/>
              </w:rPr>
              <w:t>Opportunity discipline</w:t>
            </w:r>
          </w:p>
          <w:p>
            <w:pPr>
              <w:spacing w:after="0"/>
            </w:pPr>
            <w:r>
              <w:t>Only the DOJ ANGEL item below is characterized here as a confirmed open opportunity. HHS and DOE items are recent awards, selections or acquisition signals—not open solicitations. Verify eligibility, deadlines and amendments in the official notice before committing resources.</w:t>
            </w:r>
          </w:p>
        </w:tc>
      </w:tr>
    </w:tbl>
    <w:p>
      <w:pPr>
        <w:pStyle w:val="Heading2"/>
        <w:keepNext/>
      </w:pPr>
      <w:r>
        <w:t>Live and emerging opportunities</w:t>
      </w:r>
    </w:p>
    <w:p>
      <w:pPr>
        <w:ind w:left="230" w:hanging="187"/>
      </w:pPr>
      <w:r>
        <w:rPr>
          <w:b/>
          <w:color w:val="D5A021"/>
        </w:rPr>
        <w:t xml:space="preserve">• </w:t>
      </w:r>
      <w:r>
        <w:rPr>
          <w:b/>
          <w:color w:val="111111"/>
        </w:rPr>
        <w:t xml:space="preserve">CONFIRMED — </w:t>
      </w:r>
      <w:r>
        <w:t>DOJ ANGEL: $25 million competitive grant opportunity for state, local and tribal governments and local law-enforcement agencies to support coordinated, intelligence-led enforcement. Follow the official DOJ/BJA notice for deadline and eligibility details.</w:t>
      </w:r>
      <w:r>
        <w:t xml:space="preserve">  </w:t>
      </w:r>
      <w:hyperlink r:id="rId20">
        <w:r>
          <w:rPr>
            <w:color w:val="168A8A"/>
            <w:u w:val="single"/>
          </w:rPr>
          <w:t>DOJ notice</w:t>
        </w:r>
      </w:hyperlink>
    </w:p>
    <w:p>
      <w:pPr>
        <w:ind w:left="230" w:hanging="187"/>
      </w:pPr>
      <w:r>
        <w:rPr>
          <w:b/>
          <w:color w:val="D5A021"/>
        </w:rPr>
        <w:t xml:space="preserve">• </w:t>
      </w:r>
      <w:r>
        <w:rPr>
          <w:b/>
          <w:color w:val="111111"/>
        </w:rPr>
        <w:t xml:space="preserve">CONFIRMED — </w:t>
      </w:r>
      <w:r>
        <w:t>HHS acquisition modernization: HHS says its modernization effort is transferring more than 4,000 contracts and building a roughly $2.5 billion FY2026 portfolio. This is a forward demand signal; monitor HHS forecasts and SAM.gov for actual solicitations.</w:t>
      </w:r>
      <w:r>
        <w:t xml:space="preserve">  </w:t>
      </w:r>
      <w:hyperlink r:id="rId44">
        <w:r>
          <w:rPr>
            <w:color w:val="168A8A"/>
            <w:u w:val="single"/>
          </w:rPr>
          <w:t>HHS procurement</w:t>
        </w:r>
      </w:hyperlink>
    </w:p>
    <w:p>
      <w:pPr>
        <w:ind w:left="230" w:hanging="187"/>
      </w:pPr>
      <w:r>
        <w:rPr>
          <w:b/>
          <w:color w:val="D5A021"/>
        </w:rPr>
        <w:t xml:space="preserve">• </w:t>
      </w:r>
      <w:r>
        <w:rPr>
          <w:b/>
          <w:color w:val="111111"/>
        </w:rPr>
        <w:t xml:space="preserve">CONFIRMED — </w:t>
      </w:r>
      <w:r>
        <w:t>Grid and geothermal: DOE announcements identify program direction and selected projects. Vendors should map capabilities to awardees and future notices but should not treat the announcements as open competitions.</w:t>
      </w:r>
      <w:r>
        <w:t xml:space="preserve">  </w:t>
      </w:r>
      <w:hyperlink r:id="rId36">
        <w:r>
          <w:rPr>
            <w:color w:val="168A8A"/>
            <w:u w:val="single"/>
          </w:rPr>
          <w:t>DOE newsroom</w:t>
        </w:r>
      </w:hyperlink>
    </w:p>
    <w:p>
      <w:pPr>
        <w:pStyle w:val="Heading2"/>
        <w:keepNext/>
      </w:pPr>
      <w:r>
        <w:t>Official opportunity portals</w:t>
      </w:r>
    </w:p>
    <w:tbl>
      <w:tblPr>
        <w:tblW w:type="auto" w:w="0"/>
        <w:jc w:val="center"/>
        <w:tblLayout w:type="fixed"/>
        <w:tblLook w:firstColumn="1" w:firstRow="1" w:lastColumn="0" w:lastRow="0" w:noHBand="0" w:noVBand="1" w:val="04A0"/>
      </w:tblPr>
      <w:tblGrid>
        <w:gridCol w:w="4925"/>
        <w:gridCol w:w="4925"/>
      </w:tblGrid>
      <w:tr>
        <w:trPr>
          <w:cantSplit/>
        </w:trPr>
        <w:tc>
          <w:tcPr>
            <w:tcW w:type="dxa" w:w="5083"/>
            <w:vAlign w:val="top"/>
            <w:shd w:fill="EAF4F4"/>
            <w:tcMar>
              <w:top w:w="105" w:type="dxa"/>
              <w:start w:w="115" w:type="dxa"/>
              <w:bottom w:w="95" w:type="dxa"/>
              <w:end w:w="115" w:type="dxa"/>
            </w:tcMar>
          </w:tcPr>
          <w:p>
            <w:pPr>
              <w:spacing w:after="40"/>
            </w:pPr>
            <w:r>
              <w:rPr>
                <w:b/>
                <w:color w:val="111111"/>
                <w:sz w:val="19"/>
              </w:rPr>
              <w:t>SAM.gov</w:t>
            </w:r>
          </w:p>
          <w:p>
            <w:pPr>
              <w:spacing w:after="40"/>
            </w:pPr>
            <w:r>
              <w:t>Contract opportunities and notices</w:t>
            </w:r>
          </w:p>
          <w:p>
            <w:pPr>
              <w:pStyle w:val="SmallNote"/>
            </w:pPr>
            <w:hyperlink r:id="rId45">
              <w:r>
                <w:rPr>
                  <w:color w:val="168A8A"/>
                  <w:u w:val="single"/>
                </w:rPr>
                <w:t>Open SAM.gov</w:t>
              </w:r>
            </w:hyperlink>
          </w:p>
        </w:tc>
        <w:tc>
          <w:tcPr>
            <w:tcW w:type="dxa" w:w="5083"/>
            <w:vAlign w:val="top"/>
            <w:shd w:fill="F3F5F7"/>
            <w:tcMar>
              <w:top w:w="105" w:type="dxa"/>
              <w:start w:w="115" w:type="dxa"/>
              <w:bottom w:w="95" w:type="dxa"/>
              <w:end w:w="115" w:type="dxa"/>
            </w:tcMar>
          </w:tcPr>
          <w:p>
            <w:pPr>
              <w:spacing w:after="40"/>
            </w:pPr>
            <w:r>
              <w:rPr>
                <w:b/>
                <w:color w:val="111111"/>
                <w:sz w:val="19"/>
              </w:rPr>
              <w:t>Grants.gov</w:t>
            </w:r>
          </w:p>
          <w:p>
            <w:pPr>
              <w:spacing w:after="40"/>
            </w:pPr>
            <w:r>
              <w:t>Federal grant opportunities</w:t>
            </w:r>
          </w:p>
          <w:p>
            <w:pPr>
              <w:pStyle w:val="SmallNote"/>
            </w:pPr>
            <w:hyperlink r:id="rId46">
              <w:r>
                <w:rPr>
                  <w:color w:val="168A8A"/>
                  <w:u w:val="single"/>
                </w:rPr>
                <w:t>Search grants</w:t>
              </w:r>
            </w:hyperlink>
          </w:p>
        </w:tc>
      </w:tr>
      <w:tr>
        <w:trPr>
          <w:cantSplit/>
        </w:trPr>
        <w:tc>
          <w:tcPr>
            <w:tcW w:type="dxa" w:w="5083"/>
            <w:vAlign w:val="top"/>
            <w:shd w:fill="F3F5F7"/>
            <w:tcMar>
              <w:top w:w="105" w:type="dxa"/>
              <w:start w:w="115" w:type="dxa"/>
              <w:bottom w:w="95" w:type="dxa"/>
              <w:end w:w="115" w:type="dxa"/>
            </w:tcMar>
          </w:tcPr>
          <w:p>
            <w:pPr>
              <w:spacing w:after="40"/>
            </w:pPr>
            <w:r>
              <w:rPr>
                <w:b/>
                <w:color w:val="111111"/>
                <w:sz w:val="19"/>
              </w:rPr>
              <w:t>Agency forecasts</w:t>
            </w:r>
          </w:p>
          <w:p>
            <w:pPr>
              <w:spacing w:after="40"/>
            </w:pPr>
            <w:r>
              <w:t>Procurement-forecast directory</w:t>
            </w:r>
          </w:p>
          <w:p>
            <w:pPr>
              <w:pStyle w:val="SmallNote"/>
            </w:pPr>
            <w:hyperlink r:id="rId47">
              <w:r>
                <w:rPr>
                  <w:color w:val="168A8A"/>
                  <w:u w:val="single"/>
                </w:rPr>
                <w:t>Forecast directory</w:t>
              </w:r>
            </w:hyperlink>
          </w:p>
        </w:tc>
        <w:tc>
          <w:tcPr>
            <w:tcW w:type="dxa" w:w="5083"/>
            <w:vAlign w:val="top"/>
            <w:shd w:fill="EAF4F4"/>
            <w:tcMar>
              <w:top w:w="105" w:type="dxa"/>
              <w:start w:w="115" w:type="dxa"/>
              <w:bottom w:w="95" w:type="dxa"/>
              <w:end w:w="115" w:type="dxa"/>
            </w:tcMar>
          </w:tcPr>
          <w:p>
            <w:pPr>
              <w:spacing w:after="40"/>
            </w:pPr>
            <w:r>
              <w:rPr>
                <w:b/>
                <w:color w:val="111111"/>
                <w:sz w:val="19"/>
              </w:rPr>
              <w:t>SBIR/STTR</w:t>
            </w:r>
          </w:p>
          <w:p>
            <w:pPr>
              <w:spacing w:after="40"/>
            </w:pPr>
            <w:r>
              <w:t>Small-business innovation opportunities</w:t>
            </w:r>
          </w:p>
          <w:p>
            <w:pPr>
              <w:pStyle w:val="SmallNote"/>
            </w:pPr>
            <w:hyperlink r:id="rId48">
              <w:r>
                <w:rPr>
                  <w:color w:val="168A8A"/>
                  <w:u w:val="single"/>
                </w:rPr>
                <w:t>SBIR.gov</w:t>
              </w:r>
            </w:hyperlink>
          </w:p>
        </w:tc>
      </w:tr>
      <w:tr>
        <w:trPr>
          <w:cantSplit/>
        </w:trPr>
        <w:tc>
          <w:tcPr>
            <w:tcW w:type="dxa" w:w="5083"/>
            <w:vAlign w:val="top"/>
            <w:shd w:fill="F3F5F7"/>
            <w:tcMar>
              <w:top w:w="105" w:type="dxa"/>
              <w:start w:w="115" w:type="dxa"/>
              <w:bottom w:w="95" w:type="dxa"/>
              <w:end w:w="115" w:type="dxa"/>
            </w:tcMar>
          </w:tcPr>
          <w:p>
            <w:pPr>
              <w:spacing w:after="40"/>
            </w:pPr>
            <w:r>
              <w:rPr>
                <w:b/>
                <w:color w:val="111111"/>
                <w:sz w:val="19"/>
              </w:rPr>
              <w:t>USAspending</w:t>
            </w:r>
          </w:p>
          <w:p>
            <w:pPr>
              <w:spacing w:after="40"/>
            </w:pPr>
            <w:r>
              <w:t>Federal award and recipient data</w:t>
            </w:r>
          </w:p>
          <w:p>
            <w:pPr>
              <w:pStyle w:val="SmallNote"/>
            </w:pPr>
            <w:hyperlink r:id="rId49">
              <w:r>
                <w:rPr>
                  <w:color w:val="168A8A"/>
                  <w:u w:val="single"/>
                </w:rPr>
                <w:t>USAspending</w:t>
              </w:r>
            </w:hyperlink>
          </w:p>
        </w:tc>
        <w:tc>
          <w:tcPr>
            <w:tcW w:type="dxa" w:w="5083"/>
            <w:vAlign w:val="top"/>
            <w:shd w:fill="F3F5F7"/>
            <w:tcMar>
              <w:top w:w="105" w:type="dxa"/>
              <w:start w:w="115" w:type="dxa"/>
              <w:bottom w:w="95" w:type="dxa"/>
              <w:end w:w="115" w:type="dxa"/>
            </w:tcMar>
          </w:tcPr>
          <w:p>
            <w:pPr>
              <w:spacing w:after="40"/>
            </w:pPr>
            <w:r>
              <w:rPr>
                <w:b/>
                <w:color w:val="111111"/>
                <w:sz w:val="19"/>
              </w:rPr>
              <w:t>NASA business</w:t>
            </w:r>
          </w:p>
          <w:p>
            <w:pPr>
              <w:spacing w:after="40"/>
            </w:pPr>
            <w:r>
              <w:t>NASA acquisition and partnership resources</w:t>
            </w:r>
          </w:p>
          <w:p>
            <w:pPr>
              <w:pStyle w:val="SmallNote"/>
            </w:pPr>
            <w:hyperlink r:id="rId50">
              <w:r>
                <w:rPr>
                  <w:color w:val="168A8A"/>
                  <w:u w:val="single"/>
                </w:rPr>
                <w:t>Doing business</w:t>
              </w:r>
            </w:hyperlink>
          </w:p>
        </w:tc>
      </w:tr>
    </w:tbl>
    <w:p>
      <w:pPr>
        <w:pStyle w:val="Heading2"/>
        <w:keepNext/>
      </w:pPr>
      <w:r>
        <w:t>Bid/no-bid filters</w:t>
      </w:r>
    </w:p>
    <w:p>
      <w:pPr>
        <w:ind w:left="230" w:hanging="187"/>
      </w:pPr>
      <w:r>
        <w:rPr>
          <w:b/>
          <w:color w:val="D5A021"/>
        </w:rPr>
        <w:t xml:space="preserve">• </w:t>
      </w:r>
      <w:r>
        <w:rPr>
          <w:b/>
          <w:color w:val="111111"/>
        </w:rPr>
        <w:t xml:space="preserve">PRACTICE — </w:t>
      </w:r>
      <w:r>
        <w:t>Confirm the notice is open; validate NAICS/PSC, eligibility, place of performance, security requirements, contract vehicle and amendment history.</w:t>
      </w:r>
    </w:p>
    <w:p>
      <w:pPr>
        <w:ind w:left="230" w:hanging="187"/>
      </w:pPr>
      <w:r>
        <w:rPr>
          <w:b/>
          <w:color w:val="D5A021"/>
        </w:rPr>
        <w:t xml:space="preserve">• </w:t>
      </w:r>
      <w:r>
        <w:rPr>
          <w:b/>
          <w:color w:val="111111"/>
        </w:rPr>
        <w:t xml:space="preserve">PRACTICE — </w:t>
      </w:r>
      <w:r>
        <w:t>For AI, cyber and data work, prepare evidence on identity, logging, model governance, supply-chain security and incident response.</w:t>
      </w:r>
    </w:p>
    <w:p>
      <w:r>
        <w:br w:type="page"/>
      </w:r>
    </w:p>
    <w:p>
      <w:pPr>
        <w:pStyle w:val="BriefLabel"/>
      </w:pPr>
      <w:r>
        <w:t>DECISION CALENDAR</w:t>
      </w:r>
    </w:p>
    <w:p>
      <w:pPr>
        <w:pStyle w:val="Heading1"/>
        <w:keepNext/>
      </w:pPr>
      <w:r>
        <w:t>Dates, Deadlines &amp; Strategic Implications</w:t>
      </w:r>
    </w:p>
    <w:tbl>
      <w:tblPr>
        <w:tblW w:type="auto" w:w="0"/>
        <w:jc w:val="left"/>
        <w:tblLook w:firstColumn="1" w:firstRow="1" w:lastColumn="0" w:lastRow="0" w:noHBand="0" w:noVBand="1" w:val="04A0"/>
      </w:tblPr>
      <w:tblGrid>
        <w:gridCol w:w="10152"/>
      </w:tblGrid>
      <w:tr>
        <w:trPr>
          <w:trHeight w:val="100"/>
          <w:cantSplit/>
        </w:trPr>
        <w:tc>
          <w:tcPr>
            <w:tcW w:type="dxa" w:w="10166"/>
            <w:shd w:fill="168A8A"/>
            <w:tcMar>
              <w:top w:w="0" w:type="dxa"/>
              <w:start w:w="0" w:type="dxa"/>
              <w:bottom w:w="0" w:type="dxa"/>
              <w:end w:w="0" w:type="dxa"/>
            </w:tcMar>
          </w:tcPr>
          <w:p>
            <w:pPr>
              <w:spacing w:after="0"/>
            </w:pPr>
          </w:p>
        </w:tc>
      </w:tr>
    </w:tbl>
    <w:tbl>
      <w:tblPr>
        <w:tblW w:type="auto" w:w="0"/>
        <w:jc w:val="center"/>
        <w:tblLayout w:type="fixed"/>
        <w:tblLook w:firstColumn="1" w:firstRow="1" w:lastColumn="0" w:lastRow="0" w:noHBand="0" w:noVBand="1" w:val="04A0"/>
      </w:tblPr>
      <w:tblGrid>
        <w:gridCol w:w="1800"/>
        <w:gridCol w:w="8208"/>
      </w:tblGrid>
      <w:tr>
        <w:trPr>
          <w:cantSplit/>
        </w:trPr>
        <w:tc>
          <w:tcPr>
            <w:tcW w:type="dxa" w:w="5083"/>
            <w:shd w:fill="17324D"/>
          </w:tcPr>
          <w:p>
            <w:r>
              <w:rPr>
                <w:b/>
                <w:color w:val="FFFFFF"/>
              </w:rPr>
              <w:t>Date</w:t>
            </w:r>
          </w:p>
        </w:tc>
        <w:tc>
          <w:tcPr>
            <w:tcW w:type="dxa" w:w="5083"/>
            <w:shd w:fill="17324D"/>
          </w:tcPr>
          <w:p>
            <w:r>
              <w:rPr>
                <w:b/>
                <w:color w:val="FFFFFF"/>
              </w:rPr>
              <w:t>What matters</w:t>
            </w:r>
          </w:p>
        </w:tc>
      </w:tr>
      <w:tr>
        <w:trPr>
          <w:cantSplit/>
        </w:trPr>
        <w:tc>
          <w:tcPr>
            <w:tcW w:type="dxa" w:w="1800"/>
            <w:tcMar>
              <w:top w:w="70" w:type="dxa"/>
              <w:start w:w="85" w:type="dxa"/>
              <w:bottom w:w="70" w:type="dxa"/>
              <w:end w:w="85" w:type="dxa"/>
            </w:tcMar>
            <w:shd w:fill="EAF4F4"/>
          </w:tcPr>
          <w:p>
            <w:r>
              <w:rPr>
                <w:b/>
              </w:rPr>
              <w:t>Mon. Sep 28</w:t>
            </w:r>
          </w:p>
        </w:tc>
        <w:tc>
          <w:tcPr>
            <w:tcW w:type="dxa" w:w="8208"/>
            <w:tcMar>
              <w:top w:w="70" w:type="dxa"/>
              <w:start w:w="85" w:type="dxa"/>
              <w:bottom w:w="70" w:type="dxa"/>
              <w:end w:w="85" w:type="dxa"/>
            </w:tcMar>
          </w:tcPr>
          <w:p>
            <w:r>
              <w:t>Senate returns; S. 4668 vote at 5:30 p.m.; Ukraine energy briefing at 2 p.m.; NASA Starliner briefing at 3 p.m.</w:t>
            </w:r>
          </w:p>
        </w:tc>
      </w:tr>
      <w:tr>
        <w:trPr>
          <w:cantSplit/>
        </w:trPr>
        <w:tc>
          <w:tcPr>
            <w:tcW w:type="dxa" w:w="1800"/>
            <w:tcMar>
              <w:top w:w="70" w:type="dxa"/>
              <w:start w:w="85" w:type="dxa"/>
              <w:bottom w:w="70" w:type="dxa"/>
              <w:end w:w="85" w:type="dxa"/>
            </w:tcMar>
            <w:shd w:fill="EAF4F4"/>
          </w:tcPr>
          <w:p>
            <w:r>
              <w:rPr>
                <w:b/>
              </w:rPr>
              <w:t>Tue. Sep 29</w:t>
            </w:r>
          </w:p>
        </w:tc>
        <w:tc>
          <w:tcPr>
            <w:tcW w:type="dxa" w:w="8208"/>
            <w:tcMar>
              <w:top w:w="70" w:type="dxa"/>
              <w:start w:w="85" w:type="dxa"/>
              <w:bottom w:w="70" w:type="dxa"/>
              <w:end w:w="85" w:type="dxa"/>
            </w:tcMar>
          </w:tcPr>
          <w:p>
            <w:r>
              <w:t>JOLTS at 10 a.m.; Judiciary oversight; USPTO oversight; Golden Dome hearing at 4 p.m.</w:t>
            </w:r>
          </w:p>
        </w:tc>
      </w:tr>
      <w:tr>
        <w:trPr>
          <w:cantSplit/>
        </w:trPr>
        <w:tc>
          <w:tcPr>
            <w:tcW w:type="dxa" w:w="1800"/>
            <w:tcMar>
              <w:top w:w="70" w:type="dxa"/>
              <w:start w:w="85" w:type="dxa"/>
              <w:bottom w:w="70" w:type="dxa"/>
              <w:end w:w="85" w:type="dxa"/>
            </w:tcMar>
            <w:shd w:fill="EAF4F4"/>
          </w:tcPr>
          <w:p>
            <w:r>
              <w:rPr>
                <w:b/>
              </w:rPr>
              <w:t>Wed. Sep 30</w:t>
            </w:r>
          </w:p>
        </w:tc>
        <w:tc>
          <w:tcPr>
            <w:tcW w:type="dxa" w:w="8208"/>
            <w:tcMar>
              <w:top w:w="70" w:type="dxa"/>
              <w:start w:w="85" w:type="dxa"/>
              <w:bottom w:w="70" w:type="dxa"/>
              <w:end w:w="85" w:type="dxa"/>
            </w:tcMar>
          </w:tcPr>
          <w:p>
            <w:r>
              <w:t>BEA GDP and income/outlays at 8:30 a.m.; Census advance indicators at 8:30 a.m.; HHS, energy, diplomatic and judicial nomination/business meetings; rogue-AI hearing.</w:t>
            </w:r>
          </w:p>
        </w:tc>
      </w:tr>
      <w:tr>
        <w:trPr>
          <w:cantSplit/>
        </w:trPr>
        <w:tc>
          <w:tcPr>
            <w:tcW w:type="dxa" w:w="1800"/>
            <w:tcMar>
              <w:top w:w="70" w:type="dxa"/>
              <w:start w:w="85" w:type="dxa"/>
              <w:bottom w:w="70" w:type="dxa"/>
              <w:end w:w="85" w:type="dxa"/>
            </w:tcMar>
            <w:shd w:fill="EAF4F4"/>
          </w:tcPr>
          <w:p>
            <w:r>
              <w:rPr>
                <w:b/>
              </w:rPr>
              <w:t>Thu. Oct 1</w:t>
            </w:r>
          </w:p>
        </w:tc>
        <w:tc>
          <w:tcPr>
            <w:tcW w:type="dxa" w:w="8208"/>
            <w:tcMar>
              <w:top w:w="70" w:type="dxa"/>
              <w:start w:w="85" w:type="dxa"/>
              <w:bottom w:w="70" w:type="dxa"/>
              <w:end w:w="85" w:type="dxa"/>
            </w:tcMar>
          </w:tcPr>
          <w:p>
            <w:r>
              <w:t>Construction spending at 10 a.m.; Treasury/HUD/Ex-Im nominations; Judiciary business; Venezuela closed briefing.</w:t>
            </w:r>
          </w:p>
        </w:tc>
      </w:tr>
      <w:tr>
        <w:trPr>
          <w:cantSplit/>
        </w:trPr>
        <w:tc>
          <w:tcPr>
            <w:tcW w:type="dxa" w:w="1800"/>
            <w:tcMar>
              <w:top w:w="70" w:type="dxa"/>
              <w:start w:w="85" w:type="dxa"/>
              <w:bottom w:w="70" w:type="dxa"/>
              <w:end w:w="85" w:type="dxa"/>
            </w:tcMar>
            <w:shd w:fill="EAF4F4"/>
          </w:tcPr>
          <w:p>
            <w:r>
              <w:rPr>
                <w:b/>
              </w:rPr>
              <w:t>Fri. Oct 2</w:t>
            </w:r>
          </w:p>
        </w:tc>
        <w:tc>
          <w:tcPr>
            <w:tcW w:type="dxa" w:w="8208"/>
            <w:tcMar>
              <w:top w:w="70" w:type="dxa"/>
              <w:start w:w="85" w:type="dxa"/>
              <w:bottom w:w="70" w:type="dxa"/>
              <w:end w:w="85" w:type="dxa"/>
            </w:tcMar>
          </w:tcPr>
          <w:p>
            <w:r>
              <w:t>Employment Situation at 8:30 a.m.; manufacturers’ shipments, inventories and orders at 10 a.m.</w:t>
            </w:r>
          </w:p>
        </w:tc>
      </w:tr>
      <w:tr>
        <w:trPr>
          <w:cantSplit/>
        </w:trPr>
        <w:tc>
          <w:tcPr>
            <w:tcW w:type="dxa" w:w="1800"/>
            <w:tcMar>
              <w:top w:w="70" w:type="dxa"/>
              <w:start w:w="85" w:type="dxa"/>
              <w:bottom w:w="70" w:type="dxa"/>
              <w:end w:w="85" w:type="dxa"/>
            </w:tcMar>
            <w:shd w:fill="EAF4F4"/>
          </w:tcPr>
          <w:p>
            <w:r>
              <w:rPr>
                <w:b/>
              </w:rPr>
              <w:t>Mon. Oct 5</w:t>
            </w:r>
          </w:p>
        </w:tc>
        <w:tc>
          <w:tcPr>
            <w:tcW w:type="dxa" w:w="8208"/>
            <w:tcMar>
              <w:top w:w="70" w:type="dxa"/>
              <w:start w:w="85" w:type="dxa"/>
              <w:bottom w:w="70" w:type="dxa"/>
              <w:end w:w="85" w:type="dxa"/>
            </w:tcMar>
          </w:tcPr>
          <w:p>
            <w:r>
              <w:t>Supreme Court October Term regular argument session begins—next report window.</w:t>
            </w:r>
          </w:p>
        </w:tc>
      </w:tr>
    </w:tbl>
    <w:p>
      <w:pPr>
        <w:pStyle w:val="Heading2"/>
        <w:keepNext/>
      </w:pPr>
      <w:r>
        <w:t>Strategic implications</w:t>
      </w:r>
    </w:p>
    <w:p>
      <w:pPr>
        <w:ind w:left="230" w:hanging="187"/>
      </w:pPr>
      <w:r>
        <w:rPr>
          <w:b/>
          <w:color w:val="D5A021"/>
        </w:rPr>
        <w:t xml:space="preserve">• </w:t>
      </w:r>
      <w:r>
        <w:rPr>
          <w:b/>
          <w:color w:val="111111"/>
        </w:rPr>
        <w:t xml:space="preserve">ANALYSIS — </w:t>
      </w:r>
      <w:r>
        <w:t>Trade: firms exposed to China should separate announced frameworks from implementable tariff classifications and effective dates.</w:t>
      </w:r>
    </w:p>
    <w:p>
      <w:pPr>
        <w:ind w:left="230" w:hanging="187"/>
      </w:pPr>
      <w:r>
        <w:rPr>
          <w:b/>
          <w:color w:val="D5A021"/>
        </w:rPr>
        <w:t xml:space="preserve">• </w:t>
      </w:r>
      <w:r>
        <w:rPr>
          <w:b/>
          <w:color w:val="111111"/>
        </w:rPr>
        <w:t xml:space="preserve">ANALYSIS — </w:t>
      </w:r>
      <w:r>
        <w:t>Acquisition: HHS consolidation favors firms that can compete on enterprise scale or partner into larger vehicles; small businesses should assess teaming early.</w:t>
      </w:r>
    </w:p>
    <w:p>
      <w:pPr>
        <w:ind w:left="230" w:hanging="187"/>
      </w:pPr>
      <w:r>
        <w:rPr>
          <w:b/>
          <w:color w:val="D5A021"/>
        </w:rPr>
        <w:t xml:space="preserve">• </w:t>
      </w:r>
      <w:r>
        <w:rPr>
          <w:b/>
          <w:color w:val="111111"/>
        </w:rPr>
        <w:t xml:space="preserve">ANALYSIS — </w:t>
      </w:r>
      <w:r>
        <w:t>Infrastructure: grid-capacity programs create adjacent demand in engineering, permitting, controls, cybersecurity and workforce development.</w:t>
      </w:r>
    </w:p>
    <w:p>
      <w:pPr>
        <w:ind w:left="230" w:hanging="187"/>
      </w:pPr>
      <w:r>
        <w:rPr>
          <w:b/>
          <w:color w:val="D5A021"/>
        </w:rPr>
        <w:t xml:space="preserve">• </w:t>
      </w:r>
      <w:r>
        <w:rPr>
          <w:b/>
          <w:color w:val="111111"/>
        </w:rPr>
        <w:t xml:space="preserve">ANALYSIS — </w:t>
      </w:r>
      <w:r>
        <w:t>AI security: the policy center of gravity is moving from model capability to agent behavior, access controls and accountable operations.</w:t>
      </w:r>
    </w:p>
    <w:p>
      <w:pPr>
        <w:pStyle w:val="Heading2"/>
        <w:keepNext/>
      </w:pPr>
      <w:r>
        <w:t>What to watch next</w:t>
      </w:r>
    </w:p>
    <w:p>
      <w:pPr>
        <w:ind w:left="230" w:hanging="187"/>
      </w:pPr>
      <w:r>
        <w:rPr>
          <w:b/>
          <w:color w:val="D5A021"/>
        </w:rPr>
        <w:t xml:space="preserve">• </w:t>
      </w:r>
      <w:r>
        <w:rPr>
          <w:b/>
          <w:color w:val="111111"/>
        </w:rPr>
        <w:t xml:space="preserve">WATCH — </w:t>
      </w:r>
      <w:r>
        <w:t>A posted House floor schedule; outcomes from Senate nomination and business meetings; precise implementation notices for the China package; Friday’s payroll report; Starliner’s certification path; and any new SAM.gov solicitations tied to agency modernization.</w:t>
      </w:r>
    </w:p>
    <w:p>
      <w:r>
        <w:br w:type="page"/>
      </w:r>
    </w:p>
    <w:p>
      <w:pPr>
        <w:pStyle w:val="BriefLabel"/>
      </w:pPr>
      <w:r>
        <w:t>OFFICIAL LEGISLATURE WEBSITES • A–M</w:t>
      </w:r>
    </w:p>
    <w:p>
      <w:pPr>
        <w:pStyle w:val="Heading1"/>
        <w:keepNext/>
      </w:pPr>
      <w:r>
        <w:t>50-State Legislative Directory</w:t>
      </w:r>
    </w:p>
    <w:tbl>
      <w:tblPr>
        <w:tblW w:type="auto" w:w="0"/>
        <w:jc w:val="left"/>
        <w:tblLook w:firstColumn="1" w:firstRow="1" w:lastColumn="0" w:lastRow="0" w:noHBand="0" w:noVBand="1" w:val="04A0"/>
      </w:tblPr>
      <w:tblGrid>
        <w:gridCol w:w="10152"/>
      </w:tblGrid>
      <w:tr>
        <w:trPr>
          <w:trHeight w:val="100"/>
          <w:cantSplit/>
        </w:trPr>
        <w:tc>
          <w:tcPr>
            <w:tcW w:type="dxa" w:w="10166"/>
            <w:shd w:fill="168A8A"/>
            <w:tcMar>
              <w:top w:w="0" w:type="dxa"/>
              <w:start w:w="0" w:type="dxa"/>
              <w:bottom w:w="0" w:type="dxa"/>
              <w:end w:w="0" w:type="dxa"/>
            </w:tcMar>
          </w:tcPr>
          <w:p>
            <w:pPr>
              <w:spacing w:after="0"/>
            </w:pPr>
          </w:p>
        </w:tc>
      </w:tr>
    </w:tbl>
    <w:p>
      <w:pPr>
        <w:pStyle w:val="SmallNote"/>
      </w:pPr>
      <w:r>
        <w:t>Use these official portals to check session calendars, bills, hearings and member information. No state is prioritized.</w:t>
      </w:r>
    </w:p>
    <w:tbl>
      <w:tblPr>
        <w:tblW w:type="auto" w:w="0"/>
        <w:jc w:val="center"/>
        <w:tblLayout w:type="fixed"/>
        <w:tblLook w:firstColumn="1" w:firstRow="1" w:lastColumn="0" w:lastRow="0" w:noHBand="0" w:noVBand="1" w:val="04A0"/>
      </w:tblPr>
      <w:tblGrid>
        <w:gridCol w:w="4968"/>
        <w:gridCol w:w="4968"/>
      </w:tblGrid>
      <w:tr>
        <w:trPr>
          <w:cantSplit/>
        </w:trPr>
        <w:tc>
          <w:tcPr>
            <w:tcW w:type="dxa" w:w="5083"/>
            <w:shd w:fill="17324D"/>
            <w:tcMar>
              <w:top w:w="70" w:type="dxa"/>
              <w:start w:w="85" w:type="dxa"/>
              <w:bottom w:w="70" w:type="dxa"/>
              <w:end w:w="85" w:type="dxa"/>
            </w:tcMar>
          </w:tcPr>
          <w:p>
            <w:r>
              <w:rPr>
                <w:b/>
                <w:color w:val="FFFFFF"/>
              </w:rPr>
              <w:t>Official legislative portal</w:t>
            </w:r>
          </w:p>
        </w:tc>
        <w:tc>
          <w:tcPr>
            <w:tcW w:type="dxa" w:w="5083"/>
            <w:shd w:fill="17324D"/>
            <w:tcMar>
              <w:top w:w="70" w:type="dxa"/>
              <w:start w:w="85" w:type="dxa"/>
              <w:bottom w:w="70" w:type="dxa"/>
              <w:end w:w="85" w:type="dxa"/>
            </w:tcMar>
          </w:tcPr>
          <w:p>
            <w:r>
              <w:rPr>
                <w:b/>
                <w:color w:val="FFFFFF"/>
              </w:rPr>
              <w:t>Official legislative portal</w:t>
            </w:r>
          </w:p>
        </w:tc>
      </w:tr>
      <w:tr>
        <w:trPr>
          <w:cantSplit/>
        </w:trPr>
        <w:tc>
          <w:tcPr>
            <w:tcW w:type="dxa" w:w="4968"/>
            <w:tcMar>
              <w:top w:w="55" w:type="dxa"/>
              <w:start w:w="90" w:type="dxa"/>
              <w:bottom w:w="55" w:type="dxa"/>
              <w:end w:w="90" w:type="dxa"/>
            </w:tcMar>
          </w:tcPr>
          <w:p>
            <w:hyperlink r:id="rId51">
              <w:r>
                <w:rPr>
                  <w:color w:val="168A8A"/>
                  <w:u w:val="single"/>
                  <w:b/>
                </w:rPr>
                <w:t>Alabama</w:t>
              </w:r>
            </w:hyperlink>
          </w:p>
        </w:tc>
        <w:tc>
          <w:tcPr>
            <w:tcW w:type="dxa" w:w="4968"/>
            <w:tcMar>
              <w:top w:w="55" w:type="dxa"/>
              <w:start w:w="90" w:type="dxa"/>
              <w:bottom w:w="55" w:type="dxa"/>
              <w:end w:w="90" w:type="dxa"/>
            </w:tcMar>
          </w:tcPr>
          <w:p>
            <w:hyperlink r:id="rId52">
              <w:r>
                <w:rPr>
                  <w:color w:val="168A8A"/>
                  <w:u w:val="single"/>
                  <w:b/>
                </w:rPr>
                <w:t>Alaska</w:t>
              </w:r>
            </w:hyperlink>
          </w:p>
        </w:tc>
      </w:tr>
      <w:tr>
        <w:trPr>
          <w:cantSplit/>
        </w:trPr>
        <w:tc>
          <w:tcPr>
            <w:tcW w:type="dxa" w:w="4968"/>
            <w:tcMar>
              <w:top w:w="55" w:type="dxa"/>
              <w:start w:w="90" w:type="dxa"/>
              <w:bottom w:w="55" w:type="dxa"/>
              <w:end w:w="90" w:type="dxa"/>
            </w:tcMar>
          </w:tcPr>
          <w:p>
            <w:hyperlink r:id="rId53">
              <w:r>
                <w:rPr>
                  <w:color w:val="168A8A"/>
                  <w:u w:val="single"/>
                  <w:b/>
                </w:rPr>
                <w:t>Arizona</w:t>
              </w:r>
            </w:hyperlink>
          </w:p>
        </w:tc>
        <w:tc>
          <w:tcPr>
            <w:tcW w:type="dxa" w:w="4968"/>
            <w:tcMar>
              <w:top w:w="55" w:type="dxa"/>
              <w:start w:w="90" w:type="dxa"/>
              <w:bottom w:w="55" w:type="dxa"/>
              <w:end w:w="90" w:type="dxa"/>
            </w:tcMar>
          </w:tcPr>
          <w:p>
            <w:hyperlink r:id="rId54">
              <w:r>
                <w:rPr>
                  <w:color w:val="168A8A"/>
                  <w:u w:val="single"/>
                  <w:b/>
                </w:rPr>
                <w:t>Arkansas</w:t>
              </w:r>
            </w:hyperlink>
          </w:p>
        </w:tc>
      </w:tr>
      <w:tr>
        <w:trPr>
          <w:cantSplit/>
        </w:trPr>
        <w:tc>
          <w:tcPr>
            <w:tcW w:type="dxa" w:w="4968"/>
            <w:tcMar>
              <w:top w:w="55" w:type="dxa"/>
              <w:start w:w="90" w:type="dxa"/>
              <w:bottom w:w="55" w:type="dxa"/>
              <w:end w:w="90" w:type="dxa"/>
            </w:tcMar>
          </w:tcPr>
          <w:p>
            <w:hyperlink r:id="rId55">
              <w:r>
                <w:rPr>
                  <w:color w:val="168A8A"/>
                  <w:u w:val="single"/>
                  <w:b/>
                </w:rPr>
                <w:t>California</w:t>
              </w:r>
            </w:hyperlink>
          </w:p>
        </w:tc>
        <w:tc>
          <w:tcPr>
            <w:tcW w:type="dxa" w:w="4968"/>
            <w:tcMar>
              <w:top w:w="55" w:type="dxa"/>
              <w:start w:w="90" w:type="dxa"/>
              <w:bottom w:w="55" w:type="dxa"/>
              <w:end w:w="90" w:type="dxa"/>
            </w:tcMar>
          </w:tcPr>
          <w:p>
            <w:hyperlink r:id="rId56">
              <w:r>
                <w:rPr>
                  <w:color w:val="168A8A"/>
                  <w:u w:val="single"/>
                  <w:b/>
                </w:rPr>
                <w:t>Colorado</w:t>
              </w:r>
            </w:hyperlink>
          </w:p>
        </w:tc>
      </w:tr>
      <w:tr>
        <w:trPr>
          <w:cantSplit/>
        </w:trPr>
        <w:tc>
          <w:tcPr>
            <w:tcW w:type="dxa" w:w="4968"/>
            <w:tcMar>
              <w:top w:w="55" w:type="dxa"/>
              <w:start w:w="90" w:type="dxa"/>
              <w:bottom w:w="55" w:type="dxa"/>
              <w:end w:w="90" w:type="dxa"/>
            </w:tcMar>
          </w:tcPr>
          <w:p>
            <w:hyperlink r:id="rId57">
              <w:r>
                <w:rPr>
                  <w:color w:val="168A8A"/>
                  <w:u w:val="single"/>
                  <w:b/>
                </w:rPr>
                <w:t>Connecticut</w:t>
              </w:r>
            </w:hyperlink>
          </w:p>
        </w:tc>
        <w:tc>
          <w:tcPr>
            <w:tcW w:type="dxa" w:w="4968"/>
            <w:tcMar>
              <w:top w:w="55" w:type="dxa"/>
              <w:start w:w="90" w:type="dxa"/>
              <w:bottom w:w="55" w:type="dxa"/>
              <w:end w:w="90" w:type="dxa"/>
            </w:tcMar>
          </w:tcPr>
          <w:p>
            <w:hyperlink r:id="rId58">
              <w:r>
                <w:rPr>
                  <w:color w:val="168A8A"/>
                  <w:u w:val="single"/>
                  <w:b/>
                </w:rPr>
                <w:t>Delaware</w:t>
              </w:r>
            </w:hyperlink>
          </w:p>
        </w:tc>
      </w:tr>
      <w:tr>
        <w:trPr>
          <w:cantSplit/>
        </w:trPr>
        <w:tc>
          <w:tcPr>
            <w:tcW w:type="dxa" w:w="4968"/>
            <w:tcMar>
              <w:top w:w="55" w:type="dxa"/>
              <w:start w:w="90" w:type="dxa"/>
              <w:bottom w:w="55" w:type="dxa"/>
              <w:end w:w="90" w:type="dxa"/>
            </w:tcMar>
          </w:tcPr>
          <w:p>
            <w:hyperlink r:id="rId59">
              <w:r>
                <w:rPr>
                  <w:color w:val="168A8A"/>
                  <w:u w:val="single"/>
                  <w:b/>
                </w:rPr>
                <w:t>Florida</w:t>
              </w:r>
            </w:hyperlink>
          </w:p>
        </w:tc>
        <w:tc>
          <w:tcPr>
            <w:tcW w:type="dxa" w:w="4968"/>
            <w:tcMar>
              <w:top w:w="55" w:type="dxa"/>
              <w:start w:w="90" w:type="dxa"/>
              <w:bottom w:w="55" w:type="dxa"/>
              <w:end w:w="90" w:type="dxa"/>
            </w:tcMar>
          </w:tcPr>
          <w:p>
            <w:hyperlink r:id="rId60">
              <w:r>
                <w:rPr>
                  <w:color w:val="168A8A"/>
                  <w:u w:val="single"/>
                  <w:b/>
                </w:rPr>
                <w:t>Georgia</w:t>
              </w:r>
            </w:hyperlink>
          </w:p>
        </w:tc>
      </w:tr>
      <w:tr>
        <w:trPr>
          <w:cantSplit/>
        </w:trPr>
        <w:tc>
          <w:tcPr>
            <w:tcW w:type="dxa" w:w="4968"/>
            <w:tcMar>
              <w:top w:w="55" w:type="dxa"/>
              <w:start w:w="90" w:type="dxa"/>
              <w:bottom w:w="55" w:type="dxa"/>
              <w:end w:w="90" w:type="dxa"/>
            </w:tcMar>
          </w:tcPr>
          <w:p>
            <w:hyperlink r:id="rId61">
              <w:r>
                <w:rPr>
                  <w:color w:val="168A8A"/>
                  <w:u w:val="single"/>
                  <w:b/>
                </w:rPr>
                <w:t>Hawaii</w:t>
              </w:r>
            </w:hyperlink>
          </w:p>
        </w:tc>
        <w:tc>
          <w:tcPr>
            <w:tcW w:type="dxa" w:w="4968"/>
            <w:tcMar>
              <w:top w:w="55" w:type="dxa"/>
              <w:start w:w="90" w:type="dxa"/>
              <w:bottom w:w="55" w:type="dxa"/>
              <w:end w:w="90" w:type="dxa"/>
            </w:tcMar>
          </w:tcPr>
          <w:p>
            <w:hyperlink r:id="rId62">
              <w:r>
                <w:rPr>
                  <w:color w:val="168A8A"/>
                  <w:u w:val="single"/>
                  <w:b/>
                </w:rPr>
                <w:t>Idaho</w:t>
              </w:r>
            </w:hyperlink>
          </w:p>
        </w:tc>
      </w:tr>
      <w:tr>
        <w:trPr>
          <w:cantSplit/>
        </w:trPr>
        <w:tc>
          <w:tcPr>
            <w:tcW w:type="dxa" w:w="4968"/>
            <w:tcMar>
              <w:top w:w="55" w:type="dxa"/>
              <w:start w:w="90" w:type="dxa"/>
              <w:bottom w:w="55" w:type="dxa"/>
              <w:end w:w="90" w:type="dxa"/>
            </w:tcMar>
          </w:tcPr>
          <w:p>
            <w:hyperlink r:id="rId63">
              <w:r>
                <w:rPr>
                  <w:color w:val="168A8A"/>
                  <w:u w:val="single"/>
                  <w:b/>
                </w:rPr>
                <w:t>Illinois</w:t>
              </w:r>
            </w:hyperlink>
          </w:p>
        </w:tc>
        <w:tc>
          <w:tcPr>
            <w:tcW w:type="dxa" w:w="4968"/>
            <w:tcMar>
              <w:top w:w="55" w:type="dxa"/>
              <w:start w:w="90" w:type="dxa"/>
              <w:bottom w:w="55" w:type="dxa"/>
              <w:end w:w="90" w:type="dxa"/>
            </w:tcMar>
          </w:tcPr>
          <w:p>
            <w:hyperlink r:id="rId64">
              <w:r>
                <w:rPr>
                  <w:color w:val="168A8A"/>
                  <w:u w:val="single"/>
                  <w:b/>
                </w:rPr>
                <w:t>Indiana</w:t>
              </w:r>
            </w:hyperlink>
          </w:p>
        </w:tc>
      </w:tr>
      <w:tr>
        <w:trPr>
          <w:cantSplit/>
        </w:trPr>
        <w:tc>
          <w:tcPr>
            <w:tcW w:type="dxa" w:w="4968"/>
            <w:tcMar>
              <w:top w:w="55" w:type="dxa"/>
              <w:start w:w="90" w:type="dxa"/>
              <w:bottom w:w="55" w:type="dxa"/>
              <w:end w:w="90" w:type="dxa"/>
            </w:tcMar>
          </w:tcPr>
          <w:p>
            <w:hyperlink r:id="rId65">
              <w:r>
                <w:rPr>
                  <w:color w:val="168A8A"/>
                  <w:u w:val="single"/>
                  <w:b/>
                </w:rPr>
                <w:t>Iowa</w:t>
              </w:r>
            </w:hyperlink>
          </w:p>
        </w:tc>
        <w:tc>
          <w:tcPr>
            <w:tcW w:type="dxa" w:w="4968"/>
            <w:tcMar>
              <w:top w:w="55" w:type="dxa"/>
              <w:start w:w="90" w:type="dxa"/>
              <w:bottom w:w="55" w:type="dxa"/>
              <w:end w:w="90" w:type="dxa"/>
            </w:tcMar>
          </w:tcPr>
          <w:p>
            <w:hyperlink r:id="rId66">
              <w:r>
                <w:rPr>
                  <w:color w:val="168A8A"/>
                  <w:u w:val="single"/>
                  <w:b/>
                </w:rPr>
                <w:t>Kansas</w:t>
              </w:r>
            </w:hyperlink>
          </w:p>
        </w:tc>
      </w:tr>
      <w:tr>
        <w:trPr>
          <w:cantSplit/>
        </w:trPr>
        <w:tc>
          <w:tcPr>
            <w:tcW w:type="dxa" w:w="4968"/>
            <w:tcMar>
              <w:top w:w="55" w:type="dxa"/>
              <w:start w:w="90" w:type="dxa"/>
              <w:bottom w:w="55" w:type="dxa"/>
              <w:end w:w="90" w:type="dxa"/>
            </w:tcMar>
          </w:tcPr>
          <w:p>
            <w:hyperlink r:id="rId67">
              <w:r>
                <w:rPr>
                  <w:color w:val="168A8A"/>
                  <w:u w:val="single"/>
                  <w:b/>
                </w:rPr>
                <w:t>Kentucky</w:t>
              </w:r>
            </w:hyperlink>
          </w:p>
        </w:tc>
        <w:tc>
          <w:tcPr>
            <w:tcW w:type="dxa" w:w="4968"/>
            <w:tcMar>
              <w:top w:w="55" w:type="dxa"/>
              <w:start w:w="90" w:type="dxa"/>
              <w:bottom w:w="55" w:type="dxa"/>
              <w:end w:w="90" w:type="dxa"/>
            </w:tcMar>
          </w:tcPr>
          <w:p>
            <w:hyperlink r:id="rId68">
              <w:r>
                <w:rPr>
                  <w:color w:val="168A8A"/>
                  <w:u w:val="single"/>
                  <w:b/>
                </w:rPr>
                <w:t>Louisiana</w:t>
              </w:r>
            </w:hyperlink>
          </w:p>
        </w:tc>
      </w:tr>
      <w:tr>
        <w:trPr>
          <w:cantSplit/>
        </w:trPr>
        <w:tc>
          <w:tcPr>
            <w:tcW w:type="dxa" w:w="4968"/>
            <w:tcMar>
              <w:top w:w="55" w:type="dxa"/>
              <w:start w:w="90" w:type="dxa"/>
              <w:bottom w:w="55" w:type="dxa"/>
              <w:end w:w="90" w:type="dxa"/>
            </w:tcMar>
          </w:tcPr>
          <w:p>
            <w:hyperlink r:id="rId69">
              <w:r>
                <w:rPr>
                  <w:color w:val="168A8A"/>
                  <w:u w:val="single"/>
                  <w:b/>
                </w:rPr>
                <w:t>Maine</w:t>
              </w:r>
            </w:hyperlink>
          </w:p>
        </w:tc>
        <w:tc>
          <w:tcPr>
            <w:tcW w:type="dxa" w:w="4968"/>
            <w:tcMar>
              <w:top w:w="55" w:type="dxa"/>
              <w:start w:w="90" w:type="dxa"/>
              <w:bottom w:w="55" w:type="dxa"/>
              <w:end w:w="90" w:type="dxa"/>
            </w:tcMar>
          </w:tcPr>
          <w:p>
            <w:hyperlink r:id="rId70">
              <w:r>
                <w:rPr>
                  <w:color w:val="168A8A"/>
                  <w:u w:val="single"/>
                  <w:b/>
                </w:rPr>
                <w:t>Maryland</w:t>
              </w:r>
            </w:hyperlink>
          </w:p>
        </w:tc>
      </w:tr>
      <w:tr>
        <w:trPr>
          <w:cantSplit/>
        </w:trPr>
        <w:tc>
          <w:tcPr>
            <w:tcW w:type="dxa" w:w="4968"/>
            <w:tcMar>
              <w:top w:w="55" w:type="dxa"/>
              <w:start w:w="90" w:type="dxa"/>
              <w:bottom w:w="55" w:type="dxa"/>
              <w:end w:w="90" w:type="dxa"/>
            </w:tcMar>
          </w:tcPr>
          <w:p>
            <w:hyperlink r:id="rId71">
              <w:r>
                <w:rPr>
                  <w:color w:val="168A8A"/>
                  <w:u w:val="single"/>
                  <w:b/>
                </w:rPr>
                <w:t>Massachusetts</w:t>
              </w:r>
            </w:hyperlink>
          </w:p>
        </w:tc>
        <w:tc>
          <w:tcPr>
            <w:tcW w:type="dxa" w:w="4968"/>
            <w:tcMar>
              <w:top w:w="55" w:type="dxa"/>
              <w:start w:w="90" w:type="dxa"/>
              <w:bottom w:w="55" w:type="dxa"/>
              <w:end w:w="90" w:type="dxa"/>
            </w:tcMar>
          </w:tcPr>
          <w:p>
            <w:hyperlink r:id="rId72">
              <w:r>
                <w:rPr>
                  <w:color w:val="168A8A"/>
                  <w:u w:val="single"/>
                  <w:b/>
                </w:rPr>
                <w:t>Michigan</w:t>
              </w:r>
            </w:hyperlink>
          </w:p>
        </w:tc>
      </w:tr>
      <w:tr>
        <w:trPr>
          <w:cantSplit/>
        </w:trPr>
        <w:tc>
          <w:tcPr>
            <w:tcW w:type="dxa" w:w="4968"/>
            <w:tcMar>
              <w:top w:w="55" w:type="dxa"/>
              <w:start w:w="90" w:type="dxa"/>
              <w:bottom w:w="55" w:type="dxa"/>
              <w:end w:w="90" w:type="dxa"/>
            </w:tcMar>
          </w:tcPr>
          <w:p>
            <w:hyperlink r:id="rId73">
              <w:r>
                <w:rPr>
                  <w:color w:val="168A8A"/>
                  <w:u w:val="single"/>
                  <w:b/>
                </w:rPr>
                <w:t>Minnesota</w:t>
              </w:r>
            </w:hyperlink>
          </w:p>
        </w:tc>
        <w:tc>
          <w:tcPr>
            <w:tcW w:type="dxa" w:w="4968"/>
            <w:tcMar>
              <w:top w:w="55" w:type="dxa"/>
              <w:start w:w="90" w:type="dxa"/>
              <w:bottom w:w="55" w:type="dxa"/>
              <w:end w:w="90" w:type="dxa"/>
            </w:tcMar>
          </w:tcPr>
          <w:p>
            <w:hyperlink r:id="rId74">
              <w:r>
                <w:rPr>
                  <w:color w:val="168A8A"/>
                  <w:u w:val="single"/>
                  <w:b/>
                </w:rPr>
                <w:t>Mississippi</w:t>
              </w:r>
            </w:hyperlink>
          </w:p>
        </w:tc>
      </w:tr>
      <w:tr>
        <w:trPr>
          <w:cantSplit/>
        </w:trPr>
        <w:tc>
          <w:tcPr>
            <w:tcW w:type="dxa" w:w="4968"/>
            <w:tcMar>
              <w:top w:w="55" w:type="dxa"/>
              <w:start w:w="90" w:type="dxa"/>
              <w:bottom w:w="55" w:type="dxa"/>
              <w:end w:w="90" w:type="dxa"/>
            </w:tcMar>
          </w:tcPr>
          <w:p>
            <w:hyperlink r:id="rId75">
              <w:r>
                <w:rPr>
                  <w:color w:val="168A8A"/>
                  <w:u w:val="single"/>
                  <w:b/>
                </w:rPr>
                <w:t>Missouri</w:t>
              </w:r>
            </w:hyperlink>
          </w:p>
        </w:tc>
        <w:tc>
          <w:tcPr>
            <w:tcW w:type="dxa" w:w="4968"/>
            <w:tcMar>
              <w:top w:w="55" w:type="dxa"/>
              <w:start w:w="90" w:type="dxa"/>
              <w:bottom w:w="55" w:type="dxa"/>
              <w:end w:w="90" w:type="dxa"/>
            </w:tcMar>
          </w:tcPr>
          <w:p/>
        </w:tc>
      </w:tr>
    </w:tbl>
    <w:p>
      <w:r>
        <w:br w:type="page"/>
      </w:r>
    </w:p>
    <w:p>
      <w:pPr>
        <w:pStyle w:val="BriefLabel"/>
      </w:pPr>
      <w:r>
        <w:t>OFFICIAL LEGISLATURE WEBSITES • M–W</w:t>
      </w:r>
    </w:p>
    <w:p>
      <w:pPr>
        <w:pStyle w:val="Heading1"/>
        <w:keepNext/>
      </w:pPr>
      <w:r>
        <w:t>50-State Legislative Directory</w:t>
      </w:r>
    </w:p>
    <w:tbl>
      <w:tblPr>
        <w:tblW w:type="auto" w:w="0"/>
        <w:jc w:val="left"/>
        <w:tblLook w:firstColumn="1" w:firstRow="1" w:lastColumn="0" w:lastRow="0" w:noHBand="0" w:noVBand="1" w:val="04A0"/>
      </w:tblPr>
      <w:tblGrid>
        <w:gridCol w:w="10152"/>
      </w:tblGrid>
      <w:tr>
        <w:trPr>
          <w:trHeight w:val="100"/>
          <w:cantSplit/>
        </w:trPr>
        <w:tc>
          <w:tcPr>
            <w:tcW w:type="dxa" w:w="10166"/>
            <w:shd w:fill="168A8A"/>
            <w:tcMar>
              <w:top w:w="0" w:type="dxa"/>
              <w:start w:w="0" w:type="dxa"/>
              <w:bottom w:w="0" w:type="dxa"/>
              <w:end w:w="0" w:type="dxa"/>
            </w:tcMar>
          </w:tcPr>
          <w:p>
            <w:pPr>
              <w:spacing w:after="0"/>
            </w:pPr>
          </w:p>
        </w:tc>
      </w:tr>
    </w:tbl>
    <w:tbl>
      <w:tblPr>
        <w:tblW w:type="auto" w:w="0"/>
        <w:jc w:val="center"/>
        <w:tblLayout w:type="fixed"/>
        <w:tblLook w:firstColumn="1" w:firstRow="1" w:lastColumn="0" w:lastRow="0" w:noHBand="0" w:noVBand="1" w:val="04A0"/>
      </w:tblPr>
      <w:tblGrid>
        <w:gridCol w:w="4968"/>
        <w:gridCol w:w="4968"/>
      </w:tblGrid>
      <w:tr>
        <w:trPr>
          <w:cantSplit/>
        </w:trPr>
        <w:tc>
          <w:tcPr>
            <w:tcW w:type="dxa" w:w="5083"/>
            <w:shd w:fill="17324D"/>
            <w:tcMar>
              <w:top w:w="70" w:type="dxa"/>
              <w:start w:w="85" w:type="dxa"/>
              <w:bottom w:w="70" w:type="dxa"/>
              <w:end w:w="85" w:type="dxa"/>
            </w:tcMar>
          </w:tcPr>
          <w:p>
            <w:r>
              <w:rPr>
                <w:b/>
                <w:color w:val="FFFFFF"/>
              </w:rPr>
              <w:t>Official legislative portal</w:t>
            </w:r>
          </w:p>
        </w:tc>
        <w:tc>
          <w:tcPr>
            <w:tcW w:type="dxa" w:w="5083"/>
            <w:shd w:fill="17324D"/>
            <w:tcMar>
              <w:top w:w="70" w:type="dxa"/>
              <w:start w:w="85" w:type="dxa"/>
              <w:bottom w:w="70" w:type="dxa"/>
              <w:end w:w="85" w:type="dxa"/>
            </w:tcMar>
          </w:tcPr>
          <w:p>
            <w:r>
              <w:rPr>
                <w:b/>
                <w:color w:val="FFFFFF"/>
              </w:rPr>
              <w:t>Official legislative portal</w:t>
            </w:r>
          </w:p>
        </w:tc>
      </w:tr>
      <w:tr>
        <w:trPr>
          <w:cantSplit/>
        </w:trPr>
        <w:tc>
          <w:tcPr>
            <w:tcW w:type="dxa" w:w="4968"/>
            <w:tcMar>
              <w:top w:w="55" w:type="dxa"/>
              <w:start w:w="90" w:type="dxa"/>
              <w:bottom w:w="55" w:type="dxa"/>
              <w:end w:w="90" w:type="dxa"/>
            </w:tcMar>
          </w:tcPr>
          <w:p>
            <w:hyperlink r:id="rId76">
              <w:r>
                <w:rPr>
                  <w:color w:val="168A8A"/>
                  <w:u w:val="single"/>
                  <w:b/>
                </w:rPr>
                <w:t>Montana</w:t>
              </w:r>
            </w:hyperlink>
          </w:p>
        </w:tc>
        <w:tc>
          <w:tcPr>
            <w:tcW w:type="dxa" w:w="4968"/>
            <w:tcMar>
              <w:top w:w="55" w:type="dxa"/>
              <w:start w:w="90" w:type="dxa"/>
              <w:bottom w:w="55" w:type="dxa"/>
              <w:end w:w="90" w:type="dxa"/>
            </w:tcMar>
          </w:tcPr>
          <w:p>
            <w:hyperlink r:id="rId77">
              <w:r>
                <w:rPr>
                  <w:color w:val="168A8A"/>
                  <w:u w:val="single"/>
                  <w:b/>
                </w:rPr>
                <w:t>Nebraska</w:t>
              </w:r>
            </w:hyperlink>
          </w:p>
        </w:tc>
      </w:tr>
      <w:tr>
        <w:trPr>
          <w:cantSplit/>
        </w:trPr>
        <w:tc>
          <w:tcPr>
            <w:tcW w:type="dxa" w:w="4968"/>
            <w:tcMar>
              <w:top w:w="55" w:type="dxa"/>
              <w:start w:w="90" w:type="dxa"/>
              <w:bottom w:w="55" w:type="dxa"/>
              <w:end w:w="90" w:type="dxa"/>
            </w:tcMar>
          </w:tcPr>
          <w:p>
            <w:hyperlink r:id="rId78">
              <w:r>
                <w:rPr>
                  <w:color w:val="168A8A"/>
                  <w:u w:val="single"/>
                  <w:b/>
                </w:rPr>
                <w:t>Nevada</w:t>
              </w:r>
            </w:hyperlink>
          </w:p>
        </w:tc>
        <w:tc>
          <w:tcPr>
            <w:tcW w:type="dxa" w:w="4968"/>
            <w:tcMar>
              <w:top w:w="55" w:type="dxa"/>
              <w:start w:w="90" w:type="dxa"/>
              <w:bottom w:w="55" w:type="dxa"/>
              <w:end w:w="90" w:type="dxa"/>
            </w:tcMar>
          </w:tcPr>
          <w:p>
            <w:hyperlink r:id="rId79">
              <w:r>
                <w:rPr>
                  <w:color w:val="168A8A"/>
                  <w:u w:val="single"/>
                  <w:b/>
                </w:rPr>
                <w:t>New Hampshire</w:t>
              </w:r>
            </w:hyperlink>
          </w:p>
        </w:tc>
      </w:tr>
      <w:tr>
        <w:trPr>
          <w:cantSplit/>
        </w:trPr>
        <w:tc>
          <w:tcPr>
            <w:tcW w:type="dxa" w:w="4968"/>
            <w:tcMar>
              <w:top w:w="55" w:type="dxa"/>
              <w:start w:w="90" w:type="dxa"/>
              <w:bottom w:w="55" w:type="dxa"/>
              <w:end w:w="90" w:type="dxa"/>
            </w:tcMar>
          </w:tcPr>
          <w:p>
            <w:hyperlink r:id="rId80">
              <w:r>
                <w:rPr>
                  <w:color w:val="168A8A"/>
                  <w:u w:val="single"/>
                  <w:b/>
                </w:rPr>
                <w:t>New Jersey</w:t>
              </w:r>
            </w:hyperlink>
          </w:p>
        </w:tc>
        <w:tc>
          <w:tcPr>
            <w:tcW w:type="dxa" w:w="4968"/>
            <w:tcMar>
              <w:top w:w="55" w:type="dxa"/>
              <w:start w:w="90" w:type="dxa"/>
              <w:bottom w:w="55" w:type="dxa"/>
              <w:end w:w="90" w:type="dxa"/>
            </w:tcMar>
          </w:tcPr>
          <w:p>
            <w:hyperlink r:id="rId81">
              <w:r>
                <w:rPr>
                  <w:color w:val="168A8A"/>
                  <w:u w:val="single"/>
                  <w:b/>
                </w:rPr>
                <w:t>New Mexico</w:t>
              </w:r>
            </w:hyperlink>
          </w:p>
        </w:tc>
      </w:tr>
      <w:tr>
        <w:trPr>
          <w:cantSplit/>
        </w:trPr>
        <w:tc>
          <w:tcPr>
            <w:tcW w:type="dxa" w:w="4968"/>
            <w:tcMar>
              <w:top w:w="55" w:type="dxa"/>
              <w:start w:w="90" w:type="dxa"/>
              <w:bottom w:w="55" w:type="dxa"/>
              <w:end w:w="90" w:type="dxa"/>
            </w:tcMar>
          </w:tcPr>
          <w:p>
            <w:hyperlink r:id="rId82">
              <w:r>
                <w:rPr>
                  <w:color w:val="168A8A"/>
                  <w:u w:val="single"/>
                  <w:b/>
                </w:rPr>
                <w:t>New York</w:t>
              </w:r>
            </w:hyperlink>
          </w:p>
        </w:tc>
        <w:tc>
          <w:tcPr>
            <w:tcW w:type="dxa" w:w="4968"/>
            <w:tcMar>
              <w:top w:w="55" w:type="dxa"/>
              <w:start w:w="90" w:type="dxa"/>
              <w:bottom w:w="55" w:type="dxa"/>
              <w:end w:w="90" w:type="dxa"/>
            </w:tcMar>
          </w:tcPr>
          <w:p>
            <w:hyperlink r:id="rId83">
              <w:r>
                <w:rPr>
                  <w:color w:val="168A8A"/>
                  <w:u w:val="single"/>
                  <w:b/>
                </w:rPr>
                <w:t>North Carolina</w:t>
              </w:r>
            </w:hyperlink>
          </w:p>
        </w:tc>
      </w:tr>
      <w:tr>
        <w:trPr>
          <w:cantSplit/>
        </w:trPr>
        <w:tc>
          <w:tcPr>
            <w:tcW w:type="dxa" w:w="4968"/>
            <w:tcMar>
              <w:top w:w="55" w:type="dxa"/>
              <w:start w:w="90" w:type="dxa"/>
              <w:bottom w:w="55" w:type="dxa"/>
              <w:end w:w="90" w:type="dxa"/>
            </w:tcMar>
          </w:tcPr>
          <w:p>
            <w:hyperlink r:id="rId84">
              <w:r>
                <w:rPr>
                  <w:color w:val="168A8A"/>
                  <w:u w:val="single"/>
                  <w:b/>
                </w:rPr>
                <w:t>North Dakota</w:t>
              </w:r>
            </w:hyperlink>
          </w:p>
        </w:tc>
        <w:tc>
          <w:tcPr>
            <w:tcW w:type="dxa" w:w="4968"/>
            <w:tcMar>
              <w:top w:w="55" w:type="dxa"/>
              <w:start w:w="90" w:type="dxa"/>
              <w:bottom w:w="55" w:type="dxa"/>
              <w:end w:w="90" w:type="dxa"/>
            </w:tcMar>
          </w:tcPr>
          <w:p>
            <w:hyperlink r:id="rId85">
              <w:r>
                <w:rPr>
                  <w:color w:val="168A8A"/>
                  <w:u w:val="single"/>
                  <w:b/>
                </w:rPr>
                <w:t>Ohio</w:t>
              </w:r>
            </w:hyperlink>
          </w:p>
        </w:tc>
      </w:tr>
      <w:tr>
        <w:trPr>
          <w:cantSplit/>
        </w:trPr>
        <w:tc>
          <w:tcPr>
            <w:tcW w:type="dxa" w:w="4968"/>
            <w:tcMar>
              <w:top w:w="55" w:type="dxa"/>
              <w:start w:w="90" w:type="dxa"/>
              <w:bottom w:w="55" w:type="dxa"/>
              <w:end w:w="90" w:type="dxa"/>
            </w:tcMar>
          </w:tcPr>
          <w:p>
            <w:hyperlink r:id="rId86">
              <w:r>
                <w:rPr>
                  <w:color w:val="168A8A"/>
                  <w:u w:val="single"/>
                  <w:b/>
                </w:rPr>
                <w:t>Oklahoma</w:t>
              </w:r>
            </w:hyperlink>
          </w:p>
        </w:tc>
        <w:tc>
          <w:tcPr>
            <w:tcW w:type="dxa" w:w="4968"/>
            <w:tcMar>
              <w:top w:w="55" w:type="dxa"/>
              <w:start w:w="90" w:type="dxa"/>
              <w:bottom w:w="55" w:type="dxa"/>
              <w:end w:w="90" w:type="dxa"/>
            </w:tcMar>
          </w:tcPr>
          <w:p>
            <w:hyperlink r:id="rId87">
              <w:r>
                <w:rPr>
                  <w:color w:val="168A8A"/>
                  <w:u w:val="single"/>
                  <w:b/>
                </w:rPr>
                <w:t>Oregon</w:t>
              </w:r>
            </w:hyperlink>
          </w:p>
        </w:tc>
      </w:tr>
      <w:tr>
        <w:trPr>
          <w:cantSplit/>
        </w:trPr>
        <w:tc>
          <w:tcPr>
            <w:tcW w:type="dxa" w:w="4968"/>
            <w:tcMar>
              <w:top w:w="55" w:type="dxa"/>
              <w:start w:w="90" w:type="dxa"/>
              <w:bottom w:w="55" w:type="dxa"/>
              <w:end w:w="90" w:type="dxa"/>
            </w:tcMar>
          </w:tcPr>
          <w:p>
            <w:hyperlink r:id="rId88">
              <w:r>
                <w:rPr>
                  <w:color w:val="168A8A"/>
                  <w:u w:val="single"/>
                  <w:b/>
                </w:rPr>
                <w:t>Pennsylvania</w:t>
              </w:r>
            </w:hyperlink>
          </w:p>
        </w:tc>
        <w:tc>
          <w:tcPr>
            <w:tcW w:type="dxa" w:w="4968"/>
            <w:tcMar>
              <w:top w:w="55" w:type="dxa"/>
              <w:start w:w="90" w:type="dxa"/>
              <w:bottom w:w="55" w:type="dxa"/>
              <w:end w:w="90" w:type="dxa"/>
            </w:tcMar>
          </w:tcPr>
          <w:p>
            <w:hyperlink r:id="rId89">
              <w:r>
                <w:rPr>
                  <w:color w:val="168A8A"/>
                  <w:u w:val="single"/>
                  <w:b/>
                </w:rPr>
                <w:t>Rhode Island</w:t>
              </w:r>
            </w:hyperlink>
          </w:p>
        </w:tc>
      </w:tr>
      <w:tr>
        <w:trPr>
          <w:cantSplit/>
        </w:trPr>
        <w:tc>
          <w:tcPr>
            <w:tcW w:type="dxa" w:w="4968"/>
            <w:tcMar>
              <w:top w:w="55" w:type="dxa"/>
              <w:start w:w="90" w:type="dxa"/>
              <w:bottom w:w="55" w:type="dxa"/>
              <w:end w:w="90" w:type="dxa"/>
            </w:tcMar>
          </w:tcPr>
          <w:p>
            <w:hyperlink r:id="rId90">
              <w:r>
                <w:rPr>
                  <w:color w:val="168A8A"/>
                  <w:u w:val="single"/>
                  <w:b/>
                </w:rPr>
                <w:t>South Carolina</w:t>
              </w:r>
            </w:hyperlink>
          </w:p>
        </w:tc>
        <w:tc>
          <w:tcPr>
            <w:tcW w:type="dxa" w:w="4968"/>
            <w:tcMar>
              <w:top w:w="55" w:type="dxa"/>
              <w:start w:w="90" w:type="dxa"/>
              <w:bottom w:w="55" w:type="dxa"/>
              <w:end w:w="90" w:type="dxa"/>
            </w:tcMar>
          </w:tcPr>
          <w:p>
            <w:hyperlink r:id="rId91">
              <w:r>
                <w:rPr>
                  <w:color w:val="168A8A"/>
                  <w:u w:val="single"/>
                  <w:b/>
                </w:rPr>
                <w:t>South Dakota</w:t>
              </w:r>
            </w:hyperlink>
          </w:p>
        </w:tc>
      </w:tr>
      <w:tr>
        <w:trPr>
          <w:cantSplit/>
        </w:trPr>
        <w:tc>
          <w:tcPr>
            <w:tcW w:type="dxa" w:w="4968"/>
            <w:tcMar>
              <w:top w:w="55" w:type="dxa"/>
              <w:start w:w="90" w:type="dxa"/>
              <w:bottom w:w="55" w:type="dxa"/>
              <w:end w:w="90" w:type="dxa"/>
            </w:tcMar>
          </w:tcPr>
          <w:p>
            <w:hyperlink r:id="rId92">
              <w:r>
                <w:rPr>
                  <w:color w:val="168A8A"/>
                  <w:u w:val="single"/>
                  <w:b/>
                </w:rPr>
                <w:t>Tennessee</w:t>
              </w:r>
            </w:hyperlink>
          </w:p>
        </w:tc>
        <w:tc>
          <w:tcPr>
            <w:tcW w:type="dxa" w:w="4968"/>
            <w:tcMar>
              <w:top w:w="55" w:type="dxa"/>
              <w:start w:w="90" w:type="dxa"/>
              <w:bottom w:w="55" w:type="dxa"/>
              <w:end w:w="90" w:type="dxa"/>
            </w:tcMar>
          </w:tcPr>
          <w:p>
            <w:hyperlink r:id="rId93">
              <w:r>
                <w:rPr>
                  <w:color w:val="168A8A"/>
                  <w:u w:val="single"/>
                  <w:b/>
                </w:rPr>
                <w:t>Texas</w:t>
              </w:r>
            </w:hyperlink>
          </w:p>
        </w:tc>
      </w:tr>
      <w:tr>
        <w:trPr>
          <w:cantSplit/>
        </w:trPr>
        <w:tc>
          <w:tcPr>
            <w:tcW w:type="dxa" w:w="4968"/>
            <w:tcMar>
              <w:top w:w="55" w:type="dxa"/>
              <w:start w:w="90" w:type="dxa"/>
              <w:bottom w:w="55" w:type="dxa"/>
              <w:end w:w="90" w:type="dxa"/>
            </w:tcMar>
          </w:tcPr>
          <w:p>
            <w:hyperlink r:id="rId94">
              <w:r>
                <w:rPr>
                  <w:color w:val="168A8A"/>
                  <w:u w:val="single"/>
                  <w:b/>
                </w:rPr>
                <w:t>Utah</w:t>
              </w:r>
            </w:hyperlink>
          </w:p>
        </w:tc>
        <w:tc>
          <w:tcPr>
            <w:tcW w:type="dxa" w:w="4968"/>
            <w:tcMar>
              <w:top w:w="55" w:type="dxa"/>
              <w:start w:w="90" w:type="dxa"/>
              <w:bottom w:w="55" w:type="dxa"/>
              <w:end w:w="90" w:type="dxa"/>
            </w:tcMar>
          </w:tcPr>
          <w:p>
            <w:hyperlink r:id="rId95">
              <w:r>
                <w:rPr>
                  <w:color w:val="168A8A"/>
                  <w:u w:val="single"/>
                  <w:b/>
                </w:rPr>
                <w:t>Vermont</w:t>
              </w:r>
            </w:hyperlink>
          </w:p>
        </w:tc>
      </w:tr>
      <w:tr>
        <w:trPr>
          <w:cantSplit/>
        </w:trPr>
        <w:tc>
          <w:tcPr>
            <w:tcW w:type="dxa" w:w="4968"/>
            <w:tcMar>
              <w:top w:w="55" w:type="dxa"/>
              <w:start w:w="90" w:type="dxa"/>
              <w:bottom w:w="55" w:type="dxa"/>
              <w:end w:w="90" w:type="dxa"/>
            </w:tcMar>
          </w:tcPr>
          <w:p>
            <w:hyperlink r:id="rId96">
              <w:r>
                <w:rPr>
                  <w:color w:val="168A8A"/>
                  <w:u w:val="single"/>
                  <w:b/>
                </w:rPr>
                <w:t>Virginia</w:t>
              </w:r>
            </w:hyperlink>
          </w:p>
        </w:tc>
        <w:tc>
          <w:tcPr>
            <w:tcW w:type="dxa" w:w="4968"/>
            <w:tcMar>
              <w:top w:w="55" w:type="dxa"/>
              <w:start w:w="90" w:type="dxa"/>
              <w:bottom w:w="55" w:type="dxa"/>
              <w:end w:w="90" w:type="dxa"/>
            </w:tcMar>
          </w:tcPr>
          <w:p>
            <w:hyperlink r:id="rId97">
              <w:r>
                <w:rPr>
                  <w:color w:val="168A8A"/>
                  <w:u w:val="single"/>
                  <w:b/>
                </w:rPr>
                <w:t>Washington</w:t>
              </w:r>
            </w:hyperlink>
          </w:p>
        </w:tc>
      </w:tr>
      <w:tr>
        <w:trPr>
          <w:cantSplit/>
        </w:trPr>
        <w:tc>
          <w:tcPr>
            <w:tcW w:type="dxa" w:w="4968"/>
            <w:tcMar>
              <w:top w:w="55" w:type="dxa"/>
              <w:start w:w="90" w:type="dxa"/>
              <w:bottom w:w="55" w:type="dxa"/>
              <w:end w:w="90" w:type="dxa"/>
            </w:tcMar>
          </w:tcPr>
          <w:p>
            <w:hyperlink r:id="rId98">
              <w:r>
                <w:rPr>
                  <w:color w:val="168A8A"/>
                  <w:u w:val="single"/>
                  <w:b/>
                </w:rPr>
                <w:t>West Virginia</w:t>
              </w:r>
            </w:hyperlink>
          </w:p>
        </w:tc>
        <w:tc>
          <w:tcPr>
            <w:tcW w:type="dxa" w:w="4968"/>
            <w:tcMar>
              <w:top w:w="55" w:type="dxa"/>
              <w:start w:w="90" w:type="dxa"/>
              <w:bottom w:w="55" w:type="dxa"/>
              <w:end w:w="90" w:type="dxa"/>
            </w:tcMar>
          </w:tcPr>
          <w:p>
            <w:hyperlink r:id="rId99">
              <w:r>
                <w:rPr>
                  <w:color w:val="168A8A"/>
                  <w:u w:val="single"/>
                  <w:b/>
                </w:rPr>
                <w:t>Wisconsin</w:t>
              </w:r>
            </w:hyperlink>
          </w:p>
        </w:tc>
      </w:tr>
      <w:tr>
        <w:trPr>
          <w:cantSplit/>
        </w:trPr>
        <w:tc>
          <w:tcPr>
            <w:tcW w:type="dxa" w:w="4968"/>
            <w:tcMar>
              <w:top w:w="55" w:type="dxa"/>
              <w:start w:w="90" w:type="dxa"/>
              <w:bottom w:w="55" w:type="dxa"/>
              <w:end w:w="90" w:type="dxa"/>
            </w:tcMar>
          </w:tcPr>
          <w:p>
            <w:hyperlink r:id="rId100">
              <w:r>
                <w:rPr>
                  <w:color w:val="168A8A"/>
                  <w:u w:val="single"/>
                  <w:b/>
                </w:rPr>
                <w:t>Wyoming</w:t>
              </w:r>
            </w:hyperlink>
          </w:p>
        </w:tc>
        <w:tc>
          <w:tcPr>
            <w:tcW w:type="dxa" w:w="4968"/>
            <w:tcMar>
              <w:top w:w="55" w:type="dxa"/>
              <w:start w:w="90" w:type="dxa"/>
              <w:bottom w:w="55" w:type="dxa"/>
              <w:end w:w="90" w:type="dxa"/>
            </w:tcMar>
          </w:tcPr>
          <w:p/>
        </w:tc>
      </w:tr>
    </w:tbl>
    <w:p/>
    <w:p>
      <w:pPr>
        <w:pStyle w:val="SmallNote"/>
      </w:pPr>
      <w:r>
        <w:t xml:space="preserve">Nationwide resources: </w:t>
      </w:r>
      <w:hyperlink r:id="rId101">
        <w:r>
          <w:rPr>
            <w:color w:val="168A8A"/>
            <w:u w:val="single"/>
          </w:rPr>
          <w:t>NCSL 2026 session calendar</w:t>
        </w:r>
      </w:hyperlink>
      <w:r>
        <w:t xml:space="preserve">  •  </w:t>
      </w:r>
      <w:hyperlink r:id="rId102">
        <w:r>
          <w:rPr>
            <w:color w:val="168A8A"/>
            <w:u w:val="single"/>
          </w:rPr>
          <w:t>USA.gov state governments</w:t>
        </w:r>
      </w:hyperlink>
    </w:p>
    <w:p>
      <w:r>
        <w:br w:type="page"/>
      </w:r>
    </w:p>
    <w:p>
      <w:pPr>
        <w:pStyle w:val="BriefLabel"/>
      </w:pPr>
      <w:r>
        <w:t>PUBLIC-SOURCE RECORD</w:t>
      </w:r>
    </w:p>
    <w:p>
      <w:pPr>
        <w:pStyle w:val="Heading1"/>
        <w:keepNext/>
      </w:pPr>
      <w:r>
        <w:t>Source Notes &amp; Methodology</w:t>
      </w:r>
    </w:p>
    <w:tbl>
      <w:tblPr>
        <w:tblW w:type="auto" w:w="0"/>
        <w:jc w:val="left"/>
        <w:tblLook w:firstColumn="1" w:firstRow="1" w:lastColumn="0" w:lastRow="0" w:noHBand="0" w:noVBand="1" w:val="04A0"/>
      </w:tblPr>
      <w:tblGrid>
        <w:gridCol w:w="10152"/>
      </w:tblGrid>
      <w:tr>
        <w:trPr>
          <w:trHeight w:val="100"/>
          <w:cantSplit/>
        </w:trPr>
        <w:tc>
          <w:tcPr>
            <w:tcW w:type="dxa" w:w="10166"/>
            <w:shd w:fill="168A8A"/>
            <w:tcMar>
              <w:top w:w="0" w:type="dxa"/>
              <w:start w:w="0" w:type="dxa"/>
              <w:bottom w:w="0" w:type="dxa"/>
              <w:end w:w="0" w:type="dxa"/>
            </w:tcMar>
          </w:tcPr>
          <w:p>
            <w:pPr>
              <w:spacing w:after="0"/>
            </w:pPr>
          </w:p>
        </w:tc>
      </w:tr>
    </w:tbl>
    <w:p>
      <w:pPr>
        <w:pStyle w:val="Heading2"/>
        <w:keepNext/>
      </w:pPr>
      <w:r>
        <w:t>How to read this brief</w:t>
      </w:r>
    </w:p>
    <w:p>
      <w:pPr>
        <w:ind w:left="230" w:hanging="187"/>
      </w:pPr>
      <w:r>
        <w:rPr>
          <w:b/>
          <w:color w:val="D5A021"/>
        </w:rPr>
        <w:t xml:space="preserve">• </w:t>
      </w:r>
      <w:r>
        <w:rPr>
          <w:b/>
          <w:color w:val="111111"/>
        </w:rPr>
        <w:t xml:space="preserve">CONFIRMED — </w:t>
      </w:r>
      <w:r>
        <w:t>Confirmed facts describe actions or releases publicly posted by an official source during the review window.</w:t>
      </w:r>
    </w:p>
    <w:p>
      <w:pPr>
        <w:ind w:left="230" w:hanging="187"/>
      </w:pPr>
      <w:r>
        <w:rPr>
          <w:b/>
          <w:color w:val="D5A021"/>
        </w:rPr>
        <w:t xml:space="preserve">• </w:t>
      </w:r>
      <w:r>
        <w:rPr>
          <w:b/>
          <w:color w:val="111111"/>
        </w:rPr>
        <w:t xml:space="preserve">ANNOUNCED — </w:t>
      </w:r>
      <w:r>
        <w:t>Announced schedules are future events posted by the responsible institution and remain subject to change.</w:t>
      </w:r>
    </w:p>
    <w:p>
      <w:pPr>
        <w:ind w:left="230" w:hanging="187"/>
      </w:pPr>
      <w:r>
        <w:rPr>
          <w:b/>
          <w:color w:val="D5A021"/>
        </w:rPr>
        <w:t xml:space="preserve">• </w:t>
      </w:r>
      <w:r>
        <w:rPr>
          <w:b/>
          <w:color w:val="111111"/>
        </w:rPr>
        <w:t xml:space="preserve">ANALYSIS — </w:t>
      </w:r>
      <w:r>
        <w:t>Analytical forecasts are judgments based on the public record; they are not predictions of official action.</w:t>
      </w:r>
    </w:p>
    <w:p>
      <w:pPr>
        <w:pStyle w:val="Heading2"/>
        <w:keepNext/>
      </w:pPr>
      <w:r>
        <w:t>Core official sources</w:t>
      </w:r>
    </w:p>
    <w:tbl>
      <w:tblPr>
        <w:tblW w:type="auto" w:w="0"/>
        <w:jc w:val="center"/>
        <w:tblLayout w:type="fixed"/>
        <w:tblLook w:firstColumn="1" w:firstRow="1" w:lastColumn="0" w:lastRow="0" w:noHBand="0" w:noVBand="1" w:val="04A0"/>
      </w:tblPr>
      <w:tblGrid>
        <w:gridCol w:w="4968"/>
        <w:gridCol w:w="4968"/>
      </w:tblGrid>
      <w:tr>
        <w:trPr>
          <w:cantSplit/>
        </w:trPr>
        <w:tc>
          <w:tcPr>
            <w:tcW w:type="dxa" w:w="4968"/>
            <w:tcMar>
              <w:top w:w="55" w:type="dxa"/>
              <w:start w:w="80" w:type="dxa"/>
              <w:bottom w:w="55" w:type="dxa"/>
              <w:end w:w="80" w:type="dxa"/>
            </w:tcMar>
          </w:tcPr>
          <w:p>
            <w:hyperlink r:id="rId103">
              <w:r>
                <w:rPr>
                  <w:color w:val="168A8A"/>
                  <w:u w:val="single"/>
                </w:rPr>
                <w:t>White House newsroom</w:t>
              </w:r>
            </w:hyperlink>
          </w:p>
        </w:tc>
        <w:tc>
          <w:tcPr>
            <w:tcW w:type="dxa" w:w="4968"/>
            <w:tcMar>
              <w:top w:w="55" w:type="dxa"/>
              <w:start w:w="80" w:type="dxa"/>
              <w:bottom w:w="55" w:type="dxa"/>
              <w:end w:w="80" w:type="dxa"/>
            </w:tcMar>
          </w:tcPr>
          <w:p>
            <w:hyperlink r:id="rId13">
              <w:r>
                <w:rPr>
                  <w:color w:val="168A8A"/>
                  <w:u w:val="single"/>
                </w:rPr>
                <w:t>Congress.gov</w:t>
              </w:r>
            </w:hyperlink>
          </w:p>
        </w:tc>
      </w:tr>
      <w:tr>
        <w:trPr>
          <w:cantSplit/>
        </w:trPr>
        <w:tc>
          <w:tcPr>
            <w:tcW w:type="dxa" w:w="4968"/>
            <w:tcMar>
              <w:top w:w="55" w:type="dxa"/>
              <w:start w:w="80" w:type="dxa"/>
              <w:bottom w:w="55" w:type="dxa"/>
              <w:end w:w="80" w:type="dxa"/>
            </w:tcMar>
          </w:tcPr>
          <w:p>
            <w:hyperlink r:id="rId17">
              <w:r>
                <w:rPr>
                  <w:color w:val="168A8A"/>
                  <w:u w:val="single"/>
                </w:rPr>
                <w:t>House floor schedule</w:t>
              </w:r>
            </w:hyperlink>
          </w:p>
        </w:tc>
        <w:tc>
          <w:tcPr>
            <w:tcW w:type="dxa" w:w="4968"/>
            <w:tcMar>
              <w:top w:w="55" w:type="dxa"/>
              <w:start w:w="80" w:type="dxa"/>
              <w:bottom w:w="55" w:type="dxa"/>
              <w:end w:w="80" w:type="dxa"/>
            </w:tcMar>
          </w:tcPr>
          <w:p>
            <w:hyperlink r:id="rId15">
              <w:r>
                <w:rPr>
                  <w:color w:val="168A8A"/>
                  <w:u w:val="single"/>
                </w:rPr>
                <w:t>Senate Daily Press</w:t>
              </w:r>
            </w:hyperlink>
          </w:p>
        </w:tc>
      </w:tr>
      <w:tr>
        <w:trPr>
          <w:cantSplit/>
        </w:trPr>
        <w:tc>
          <w:tcPr>
            <w:tcW w:type="dxa" w:w="4968"/>
            <w:tcMar>
              <w:top w:w="55" w:type="dxa"/>
              <w:start w:w="80" w:type="dxa"/>
              <w:bottom w:w="55" w:type="dxa"/>
              <w:end w:w="80" w:type="dxa"/>
            </w:tcMar>
          </w:tcPr>
          <w:p>
            <w:hyperlink r:id="rId16">
              <w:r>
                <w:rPr>
                  <w:color w:val="168A8A"/>
                  <w:u w:val="single"/>
                </w:rPr>
                <w:t>Senate committee calendar</w:t>
              </w:r>
            </w:hyperlink>
          </w:p>
        </w:tc>
        <w:tc>
          <w:tcPr>
            <w:tcW w:type="dxa" w:w="4968"/>
            <w:tcMar>
              <w:top w:w="55" w:type="dxa"/>
              <w:start w:w="80" w:type="dxa"/>
              <w:bottom w:w="55" w:type="dxa"/>
              <w:end w:w="80" w:type="dxa"/>
            </w:tcMar>
          </w:tcPr>
          <w:p>
            <w:hyperlink r:id="rId21">
              <w:r>
                <w:rPr>
                  <w:color w:val="168A8A"/>
                  <w:u w:val="single"/>
                </w:rPr>
                <w:t>Supreme Court calendars</w:t>
              </w:r>
            </w:hyperlink>
          </w:p>
        </w:tc>
      </w:tr>
      <w:tr>
        <w:trPr>
          <w:cantSplit/>
        </w:trPr>
        <w:tc>
          <w:tcPr>
            <w:tcW w:type="dxa" w:w="4968"/>
            <w:tcMar>
              <w:top w:w="55" w:type="dxa"/>
              <w:start w:w="80" w:type="dxa"/>
              <w:bottom w:w="55" w:type="dxa"/>
              <w:end w:w="80" w:type="dxa"/>
            </w:tcMar>
          </w:tcPr>
          <w:p>
            <w:hyperlink r:id="rId12">
              <w:r>
                <w:rPr>
                  <w:color w:val="168A8A"/>
                  <w:u w:val="single"/>
                </w:rPr>
                <w:t>Federal Register</w:t>
              </w:r>
            </w:hyperlink>
          </w:p>
        </w:tc>
        <w:tc>
          <w:tcPr>
            <w:tcW w:type="dxa" w:w="4968"/>
            <w:tcMar>
              <w:top w:w="55" w:type="dxa"/>
              <w:start w:w="80" w:type="dxa"/>
              <w:bottom w:w="55" w:type="dxa"/>
              <w:end w:w="80" w:type="dxa"/>
            </w:tcMar>
          </w:tcPr>
          <w:p>
            <w:hyperlink r:id="rId19">
              <w:r>
                <w:rPr>
                  <w:color w:val="168A8A"/>
                  <w:u w:val="single"/>
                </w:rPr>
                <w:t>BLS release calendar</w:t>
              </w:r>
            </w:hyperlink>
          </w:p>
        </w:tc>
      </w:tr>
      <w:tr>
        <w:trPr>
          <w:cantSplit/>
        </w:trPr>
        <w:tc>
          <w:tcPr>
            <w:tcW w:type="dxa" w:w="4968"/>
            <w:tcMar>
              <w:top w:w="55" w:type="dxa"/>
              <w:start w:w="80" w:type="dxa"/>
              <w:bottom w:w="55" w:type="dxa"/>
              <w:end w:w="80" w:type="dxa"/>
            </w:tcMar>
          </w:tcPr>
          <w:p>
            <w:hyperlink r:id="rId43">
              <w:r>
                <w:rPr>
                  <w:color w:val="168A8A"/>
                  <w:u w:val="single"/>
                </w:rPr>
                <w:t>BEA release schedule</w:t>
              </w:r>
            </w:hyperlink>
          </w:p>
        </w:tc>
        <w:tc>
          <w:tcPr>
            <w:tcW w:type="dxa" w:w="4968"/>
            <w:tcMar>
              <w:top w:w="55" w:type="dxa"/>
              <w:start w:w="80" w:type="dxa"/>
              <w:bottom w:w="55" w:type="dxa"/>
              <w:end w:w="80" w:type="dxa"/>
            </w:tcMar>
          </w:tcPr>
          <w:p>
            <w:hyperlink r:id="rId104">
              <w:r>
                <w:rPr>
                  <w:color w:val="168A8A"/>
                  <w:u w:val="single"/>
                </w:rPr>
                <w:t>Census indicator calendar</w:t>
              </w:r>
            </w:hyperlink>
          </w:p>
        </w:tc>
      </w:tr>
      <w:tr>
        <w:trPr>
          <w:cantSplit/>
        </w:trPr>
        <w:tc>
          <w:tcPr>
            <w:tcW w:type="dxa" w:w="4968"/>
            <w:tcMar>
              <w:top w:w="55" w:type="dxa"/>
              <w:start w:w="80" w:type="dxa"/>
              <w:bottom w:w="55" w:type="dxa"/>
              <w:end w:w="80" w:type="dxa"/>
            </w:tcMar>
          </w:tcPr>
          <w:p>
            <w:hyperlink r:id="rId26">
              <w:r>
                <w:rPr>
                  <w:color w:val="168A8A"/>
                  <w:u w:val="single"/>
                </w:rPr>
                <w:t>DOJ news</w:t>
              </w:r>
            </w:hyperlink>
          </w:p>
        </w:tc>
        <w:tc>
          <w:tcPr>
            <w:tcW w:type="dxa" w:w="4968"/>
            <w:tcMar>
              <w:top w:w="55" w:type="dxa"/>
              <w:start w:w="80" w:type="dxa"/>
              <w:bottom w:w="55" w:type="dxa"/>
              <w:end w:w="80" w:type="dxa"/>
            </w:tcMar>
          </w:tcPr>
          <w:p>
            <w:hyperlink r:id="rId33">
              <w:r>
                <w:rPr>
                  <w:color w:val="168A8A"/>
                  <w:u w:val="single"/>
                </w:rPr>
                <w:t>HHS newsroom</w:t>
              </w:r>
            </w:hyperlink>
          </w:p>
        </w:tc>
      </w:tr>
      <w:tr>
        <w:trPr>
          <w:cantSplit/>
        </w:trPr>
        <w:tc>
          <w:tcPr>
            <w:tcW w:type="dxa" w:w="4968"/>
            <w:tcMar>
              <w:top w:w="55" w:type="dxa"/>
              <w:start w:w="80" w:type="dxa"/>
              <w:bottom w:w="55" w:type="dxa"/>
              <w:end w:w="80" w:type="dxa"/>
            </w:tcMar>
          </w:tcPr>
          <w:p>
            <w:hyperlink r:id="rId36">
              <w:r>
                <w:rPr>
                  <w:color w:val="168A8A"/>
                  <w:u w:val="single"/>
                </w:rPr>
                <w:t>DOE newsroom</w:t>
              </w:r>
            </w:hyperlink>
          </w:p>
        </w:tc>
        <w:tc>
          <w:tcPr>
            <w:tcW w:type="dxa" w:w="4968"/>
            <w:tcMar>
              <w:top w:w="55" w:type="dxa"/>
              <w:start w:w="80" w:type="dxa"/>
              <w:bottom w:w="55" w:type="dxa"/>
              <w:end w:w="80" w:type="dxa"/>
            </w:tcMar>
          </w:tcPr>
          <w:p>
            <w:hyperlink r:id="rId105">
              <w:r>
                <w:rPr>
                  <w:color w:val="168A8A"/>
                  <w:u w:val="single"/>
                </w:rPr>
                <w:t>NASA releases</w:t>
              </w:r>
            </w:hyperlink>
          </w:p>
        </w:tc>
      </w:tr>
      <w:tr>
        <w:trPr>
          <w:cantSplit/>
        </w:trPr>
        <w:tc>
          <w:tcPr>
            <w:tcW w:type="dxa" w:w="4968"/>
            <w:tcMar>
              <w:top w:w="55" w:type="dxa"/>
              <w:start w:w="80" w:type="dxa"/>
              <w:bottom w:w="55" w:type="dxa"/>
              <w:end w:w="80" w:type="dxa"/>
            </w:tcMar>
          </w:tcPr>
          <w:p>
            <w:hyperlink r:id="rId45">
              <w:r>
                <w:rPr>
                  <w:color w:val="168A8A"/>
                  <w:u w:val="single"/>
                </w:rPr>
                <w:t>SAM.gov</w:t>
              </w:r>
            </w:hyperlink>
          </w:p>
        </w:tc>
        <w:tc>
          <w:tcPr>
            <w:tcW w:type="dxa" w:w="4968"/>
            <w:tcMar>
              <w:top w:w="55" w:type="dxa"/>
              <w:start w:w="80" w:type="dxa"/>
              <w:bottom w:w="55" w:type="dxa"/>
              <w:end w:w="80" w:type="dxa"/>
            </w:tcMar>
          </w:tcPr>
          <w:p>
            <w:hyperlink r:id="rId46">
              <w:r>
                <w:rPr>
                  <w:color w:val="168A8A"/>
                  <w:u w:val="single"/>
                </w:rPr>
                <w:t>Grants.gov</w:t>
              </w:r>
            </w:hyperlink>
          </w:p>
        </w:tc>
      </w:tr>
    </w:tbl>
    <w:p>
      <w:pPr>
        <w:pStyle w:val="Heading2"/>
        <w:keepNext/>
      </w:pPr>
      <w:r>
        <w:t>Editorial notes</w:t>
      </w:r>
    </w:p>
    <w:p>
      <w:pPr>
        <w:pStyle w:val="SmallNote"/>
      </w:pPr>
      <w:r>
        <w:t>Prepared September 28, 2026, from public information available at publication time. Dates and times are Eastern unless otherwise stated. Committee schedules, votes, releases and opportunities can change after publication; linked official pages control. Agency claims are attributed to the issuing agency. Mention of an organization, program or opportunity is informational and not an endorsement.</w:t>
      </w:r>
    </w:p>
    <w:tbl>
      <w:tblPr>
        <w:tblW w:type="auto" w:w="0"/>
        <w:jc w:val="center"/>
        <w:tblLayout w:type="fixed"/>
        <w:tblLook w:firstColumn="1" w:firstRow="1" w:lastColumn="0" w:lastRow="0" w:noHBand="0" w:noVBand="1" w:val="04A0"/>
      </w:tblPr>
      <w:tblGrid>
        <w:gridCol w:w="10008"/>
      </w:tblGrid>
      <w:tr>
        <w:trPr>
          <w:cantSplit/>
        </w:trPr>
        <w:tc>
          <w:tcPr>
            <w:tcW w:type="dxa" w:w="10166"/>
            <w:shd w:fill="F3F5F7"/>
            <w:tcMar>
              <w:top w:w="120" w:type="dxa"/>
              <w:start w:w="140" w:type="dxa"/>
              <w:bottom w:w="105" w:type="dxa"/>
              <w:end w:w="140" w:type="dxa"/>
            </w:tcMar>
          </w:tcPr>
          <w:p>
            <w:pPr>
              <w:spacing w:after="60"/>
            </w:pPr>
            <w:r>
              <w:rPr>
                <w:b/>
                <w:color w:val="111111"/>
              </w:rPr>
              <w:t>Reader verification</w:t>
            </w:r>
          </w:p>
          <w:p>
            <w:pPr>
              <w:spacing w:after="0"/>
            </w:pPr>
            <w:r>
              <w:t>Before relying on a deadline, vote time, hearing, eligibility rule or solicitation term, open the linked official source and review the latest amendment or notice.</w:t>
            </w:r>
          </w:p>
        </w:tc>
      </w:tr>
    </w:tbl>
    <w:sectPr w:rsidR="00FC693F" w:rsidRPr="0006063C" w:rsidSect="00034616">
      <w:headerReference w:type="default" r:id="rId9"/>
      <w:footerReference w:type="default" r:id="rId10"/>
      <w:pgSz w:w="12240" w:h="15840"/>
      <w:pgMar w:top="979" w:right="1037" w:bottom="893" w:left="1037" w:header="403"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A6875"/>
        <w:sz w:val="14"/>
      </w:rPr>
      <w:t xml:space="preserve">POTOMAC HIGHLANDS STRATEGY  •  PAGE </w:t>
    </w:r>
    <w:r>
      <w:fldChar w:fldCharType="begin"/>
      <w:instrText xml:space="preserve">PAGE</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ptos" w:hAnsi="Aptos"/>
        <w:b/>
        <w:color w:val="111111"/>
        <w:sz w:val="14"/>
      </w:rPr>
      <w:t>POTOMAC HIGHLANDS STRATEGY  |  MONDAY INTELLIGENCE BRIEF</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90" w:line="254" w:lineRule="auto"/>
    </w:pPr>
    <w:rPr>
      <w:rFonts w:ascii="Aptos" w:hAnsi="Aptos"/>
      <w:color w:val="111111"/>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111111"/>
      <w:sz w:val="36"/>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11111"/>
      <w:sz w:val="25"/>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w:hAnsi="Aptos"/>
      <w:b/>
      <w:bCs/>
      <w:color w:val="111111"/>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111111"/>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riefLabel">
    <w:name w:val="Brief Label"/>
    <w:pPr>
      <w:spacing w:after="40"/>
    </w:pPr>
    <w:rPr>
      <w:rFonts w:ascii="Aptos" w:hAnsi="Aptos"/>
      <w:b/>
      <w:color w:val="168A8A"/>
      <w:sz w:val="16"/>
    </w:rPr>
  </w:style>
  <w:style w:type="paragraph" w:customStyle="1" w:styleId="SmallNote">
    <w:name w:val="Small Note"/>
    <w:pPr>
      <w:spacing w:after="60"/>
    </w:pPr>
    <w:rPr>
      <w:rFonts w:ascii="Aptos" w:hAnsi="Aptos"/>
      <w:color w:val="5A6875"/>
      <w:sz w:val="15"/>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www.usa.gov/federal-agencies" TargetMode="External"/><Relationship Id="rId12" Type="http://schemas.openxmlformats.org/officeDocument/2006/relationships/hyperlink" Target="https://www.federalregister.gov/" TargetMode="External"/><Relationship Id="rId13" Type="http://schemas.openxmlformats.org/officeDocument/2006/relationships/hyperlink" Target="https://www.congress.gov/" TargetMode="External"/><Relationship Id="rId14" Type="http://schemas.openxmlformats.org/officeDocument/2006/relationships/hyperlink" Target="https://www.usa.gov/" TargetMode="External"/><Relationship Id="rId15" Type="http://schemas.openxmlformats.org/officeDocument/2006/relationships/hyperlink" Target="https://www.dailypress.senate.gov/" TargetMode="External"/><Relationship Id="rId16" Type="http://schemas.openxmlformats.org/officeDocument/2006/relationships/hyperlink" Target="https://www.senate.gov/committees/hearings_meetings.htm" TargetMode="External"/><Relationship Id="rId17" Type="http://schemas.openxmlformats.org/officeDocument/2006/relationships/hyperlink" Target="https://www.majorityleader.gov/schedule/weekly-schedule.htm" TargetMode="External"/><Relationship Id="rId18" Type="http://schemas.openxmlformats.org/officeDocument/2006/relationships/hyperlink" Target="https://www.whitehouse.gov/fact-sheets/2026/09/fact-sheet-president-donald-j-trump-advances-a-fair-and-reciprocal-relationship-with-china-while-hosting-historic-state-visit/" TargetMode="External"/><Relationship Id="rId19" Type="http://schemas.openxmlformats.org/officeDocument/2006/relationships/hyperlink" Target="https://www.bls.gov/schedule/2026/10_sched.htm" TargetMode="External"/><Relationship Id="rId20" Type="http://schemas.openxmlformats.org/officeDocument/2006/relationships/hyperlink" Target="https://www.justice.gov/opa/pr/doj-announces-25m-assisting-neighborhoods-and-governments-enforcement-laws-angel-grant" TargetMode="External"/><Relationship Id="rId21" Type="http://schemas.openxmlformats.org/officeDocument/2006/relationships/hyperlink" Target="https://www.supremecourt.gov/oral_arguments/calendarsandlists.aspx" TargetMode="External"/><Relationship Id="rId22" Type="http://schemas.openxmlformats.org/officeDocument/2006/relationships/hyperlink" Target="https://pacer.uscourts.gov/" TargetMode="External"/><Relationship Id="rId23" Type="http://schemas.openxmlformats.org/officeDocument/2006/relationships/hyperlink" Target="https://www.war.gov/News/Contracts/" TargetMode="External"/><Relationship Id="rId24" Type="http://schemas.openxmlformats.org/officeDocument/2006/relationships/hyperlink" Target="https://www.state.gov/press-releases/" TargetMode="External"/><Relationship Id="rId25" Type="http://schemas.openxmlformats.org/officeDocument/2006/relationships/hyperlink" Target="https://home.treasury.gov/news/press-releases" TargetMode="External"/><Relationship Id="rId26" Type="http://schemas.openxmlformats.org/officeDocument/2006/relationships/hyperlink" Target="https://www.justice.gov/news/press-releases" TargetMode="External"/><Relationship Id="rId27" Type="http://schemas.openxmlformats.org/officeDocument/2006/relationships/hyperlink" Target="https://www.dhs.gov/news-releases" TargetMode="External"/><Relationship Id="rId28" Type="http://schemas.openxmlformats.org/officeDocument/2006/relationships/hyperlink" Target="https://news.va.gov/va-press-room/" TargetMode="External"/><Relationship Id="rId29" Type="http://schemas.openxmlformats.org/officeDocument/2006/relationships/hyperlink" Target="https://www.supremecourt.gov/" TargetMode="External"/><Relationship Id="rId30" Type="http://schemas.openxmlformats.org/officeDocument/2006/relationships/hyperlink" Target="https://www.doi.gov/news" TargetMode="External"/><Relationship Id="rId31" Type="http://schemas.openxmlformats.org/officeDocument/2006/relationships/hyperlink" Target="https://www.usda.gov/about-usda/news/press-releases" TargetMode="External"/><Relationship Id="rId32" Type="http://schemas.openxmlformats.org/officeDocument/2006/relationships/hyperlink" Target="https://www.commerce.gov/news" TargetMode="External"/><Relationship Id="rId33" Type="http://schemas.openxmlformats.org/officeDocument/2006/relationships/hyperlink" Target="https://www.hhs.gov/press-room/index.html" TargetMode="External"/><Relationship Id="rId34" Type="http://schemas.openxmlformats.org/officeDocument/2006/relationships/hyperlink" Target="https://www.hud.gov/news" TargetMode="External"/><Relationship Id="rId35" Type="http://schemas.openxmlformats.org/officeDocument/2006/relationships/hyperlink" Target="https://www.transportation.gov/briefing-room" TargetMode="External"/><Relationship Id="rId36" Type="http://schemas.openxmlformats.org/officeDocument/2006/relationships/hyperlink" Target="https://www.energy.gov/newsroom" TargetMode="External"/><Relationship Id="rId37" Type="http://schemas.openxmlformats.org/officeDocument/2006/relationships/hyperlink" Target="https://www.ed.gov/about/news/press-release" TargetMode="External"/><Relationship Id="rId38" Type="http://schemas.openxmlformats.org/officeDocument/2006/relationships/hyperlink" Target="https://www.epa.gov/newsroom/browse-news-releases" TargetMode="External"/><Relationship Id="rId39" Type="http://schemas.openxmlformats.org/officeDocument/2006/relationships/hyperlink" Target="https://www.sba.gov/article" TargetMode="External"/><Relationship Id="rId40" Type="http://schemas.openxmlformats.org/officeDocument/2006/relationships/hyperlink" Target="https://www.energy.gov/articles/energy-department-announces-speed-power-investments-across-26-states-lower-electricity" TargetMode="External"/><Relationship Id="rId41" Type="http://schemas.openxmlformats.org/officeDocument/2006/relationships/hyperlink" Target="https://www.energy.gov/articles/energy-department-announces-99-million-21-projects-advance-us-geothermal-energy" TargetMode="External"/><Relationship Id="rId42" Type="http://schemas.openxmlformats.org/officeDocument/2006/relationships/hyperlink" Target="https://www.nasa.gov/news-release/nasa-boeing-to-provide-update-on-starliner-development/" TargetMode="External"/><Relationship Id="rId43" Type="http://schemas.openxmlformats.org/officeDocument/2006/relationships/hyperlink" Target="https://www.bea.gov/news/schedule" TargetMode="External"/><Relationship Id="rId44" Type="http://schemas.openxmlformats.org/officeDocument/2006/relationships/hyperlink" Target="https://www.hhs.gov/press-room/hhs-modernizes-procurement-builds-on-16-billion-savings.html" TargetMode="External"/><Relationship Id="rId45" Type="http://schemas.openxmlformats.org/officeDocument/2006/relationships/hyperlink" Target="https://sam.gov/opportunities" TargetMode="External"/><Relationship Id="rId46" Type="http://schemas.openxmlformats.org/officeDocument/2006/relationships/hyperlink" Target="https://www.grants.gov/search-grants" TargetMode="External"/><Relationship Id="rId47" Type="http://schemas.openxmlformats.org/officeDocument/2006/relationships/hyperlink" Target="https://www.acquisition.gov/procurement-forecasts" TargetMode="External"/><Relationship Id="rId48" Type="http://schemas.openxmlformats.org/officeDocument/2006/relationships/hyperlink" Target="https://www.sbir.gov/" TargetMode="External"/><Relationship Id="rId49" Type="http://schemas.openxmlformats.org/officeDocument/2006/relationships/hyperlink" Target="https://www.usaspending.gov/" TargetMode="External"/><Relationship Id="rId50" Type="http://schemas.openxmlformats.org/officeDocument/2006/relationships/hyperlink" Target="https://www.nasa.gov/doing-business-with-nasa/" TargetMode="External"/><Relationship Id="rId51" Type="http://schemas.openxmlformats.org/officeDocument/2006/relationships/hyperlink" Target="https://alison.legislature.state.al.us/" TargetMode="External"/><Relationship Id="rId52" Type="http://schemas.openxmlformats.org/officeDocument/2006/relationships/hyperlink" Target="https://www.akleg.gov/" TargetMode="External"/><Relationship Id="rId53" Type="http://schemas.openxmlformats.org/officeDocument/2006/relationships/hyperlink" Target="https://www.azleg.gov/" TargetMode="External"/><Relationship Id="rId54" Type="http://schemas.openxmlformats.org/officeDocument/2006/relationships/hyperlink" Target="https://www.arkleg.state.ar.us/" TargetMode="External"/><Relationship Id="rId55" Type="http://schemas.openxmlformats.org/officeDocument/2006/relationships/hyperlink" Target="https://legislature.ca.gov/" TargetMode="External"/><Relationship Id="rId56" Type="http://schemas.openxmlformats.org/officeDocument/2006/relationships/hyperlink" Target="https://leg.colorado.gov/" TargetMode="External"/><Relationship Id="rId57" Type="http://schemas.openxmlformats.org/officeDocument/2006/relationships/hyperlink" Target="https://www.cga.ct.gov/" TargetMode="External"/><Relationship Id="rId58" Type="http://schemas.openxmlformats.org/officeDocument/2006/relationships/hyperlink" Target="https://legis.delaware.gov/" TargetMode="External"/><Relationship Id="rId59" Type="http://schemas.openxmlformats.org/officeDocument/2006/relationships/hyperlink" Target="https://www.leg.state.fl.us/" TargetMode="External"/><Relationship Id="rId60" Type="http://schemas.openxmlformats.org/officeDocument/2006/relationships/hyperlink" Target="https://www.legis.ga.gov/" TargetMode="External"/><Relationship Id="rId61" Type="http://schemas.openxmlformats.org/officeDocument/2006/relationships/hyperlink" Target="https://www.capitol.hawaii.gov/" TargetMode="External"/><Relationship Id="rId62" Type="http://schemas.openxmlformats.org/officeDocument/2006/relationships/hyperlink" Target="https://legislature.idaho.gov/" TargetMode="External"/><Relationship Id="rId63" Type="http://schemas.openxmlformats.org/officeDocument/2006/relationships/hyperlink" Target="https://www.ilga.gov/" TargetMode="External"/><Relationship Id="rId64" Type="http://schemas.openxmlformats.org/officeDocument/2006/relationships/hyperlink" Target="https://iga.in.gov/" TargetMode="External"/><Relationship Id="rId65" Type="http://schemas.openxmlformats.org/officeDocument/2006/relationships/hyperlink" Target="https://www.legis.iowa.gov/" TargetMode="External"/><Relationship Id="rId66" Type="http://schemas.openxmlformats.org/officeDocument/2006/relationships/hyperlink" Target="https://www.kslegislature.gov/" TargetMode="External"/><Relationship Id="rId67" Type="http://schemas.openxmlformats.org/officeDocument/2006/relationships/hyperlink" Target="https://legislature.ky.gov/" TargetMode="External"/><Relationship Id="rId68" Type="http://schemas.openxmlformats.org/officeDocument/2006/relationships/hyperlink" Target="https://legis.la.gov/" TargetMode="External"/><Relationship Id="rId69" Type="http://schemas.openxmlformats.org/officeDocument/2006/relationships/hyperlink" Target="https://legislature.maine.gov/" TargetMode="External"/><Relationship Id="rId70" Type="http://schemas.openxmlformats.org/officeDocument/2006/relationships/hyperlink" Target="https://mgaleg.maryland.gov/" TargetMode="External"/><Relationship Id="rId71" Type="http://schemas.openxmlformats.org/officeDocument/2006/relationships/hyperlink" Target="https://malegislature.gov/" TargetMode="External"/><Relationship Id="rId72" Type="http://schemas.openxmlformats.org/officeDocument/2006/relationships/hyperlink" Target="https://www.legislature.mi.gov/" TargetMode="External"/><Relationship Id="rId73" Type="http://schemas.openxmlformats.org/officeDocument/2006/relationships/hyperlink" Target="https://www.leg.mn.gov/" TargetMode="External"/><Relationship Id="rId74" Type="http://schemas.openxmlformats.org/officeDocument/2006/relationships/hyperlink" Target="https://www.legislature.ms.gov/" TargetMode="External"/><Relationship Id="rId75" Type="http://schemas.openxmlformats.org/officeDocument/2006/relationships/hyperlink" Target="https://www.mo.gov/government/legislative-branch/" TargetMode="External"/><Relationship Id="rId76" Type="http://schemas.openxmlformats.org/officeDocument/2006/relationships/hyperlink" Target="https://legmt.gov/" TargetMode="External"/><Relationship Id="rId77" Type="http://schemas.openxmlformats.org/officeDocument/2006/relationships/hyperlink" Target="https://nebraskalegislature.gov/" TargetMode="External"/><Relationship Id="rId78" Type="http://schemas.openxmlformats.org/officeDocument/2006/relationships/hyperlink" Target="https://www.leg.state.nv.us/" TargetMode="External"/><Relationship Id="rId79" Type="http://schemas.openxmlformats.org/officeDocument/2006/relationships/hyperlink" Target="https://gc.nh.gov/" TargetMode="External"/><Relationship Id="rId80" Type="http://schemas.openxmlformats.org/officeDocument/2006/relationships/hyperlink" Target="https://www.njleg.state.nj.us/" TargetMode="External"/><Relationship Id="rId81" Type="http://schemas.openxmlformats.org/officeDocument/2006/relationships/hyperlink" Target="https://www.nmlegis.gov/" TargetMode="External"/><Relationship Id="rId82" Type="http://schemas.openxmlformats.org/officeDocument/2006/relationships/hyperlink" Target="https://www.nysenate.gov/legislation" TargetMode="External"/><Relationship Id="rId83" Type="http://schemas.openxmlformats.org/officeDocument/2006/relationships/hyperlink" Target="https://www.ncleg.gov/" TargetMode="External"/><Relationship Id="rId84" Type="http://schemas.openxmlformats.org/officeDocument/2006/relationships/hyperlink" Target="https://ndlegis.gov/" TargetMode="External"/><Relationship Id="rId85" Type="http://schemas.openxmlformats.org/officeDocument/2006/relationships/hyperlink" Target="https://www.legislature.ohio.gov/" TargetMode="External"/><Relationship Id="rId86" Type="http://schemas.openxmlformats.org/officeDocument/2006/relationships/hyperlink" Target="https://www.oklegislature.gov/" TargetMode="External"/><Relationship Id="rId87" Type="http://schemas.openxmlformats.org/officeDocument/2006/relationships/hyperlink" Target="https://www.oregonlegislature.gov/" TargetMode="External"/><Relationship Id="rId88" Type="http://schemas.openxmlformats.org/officeDocument/2006/relationships/hyperlink" Target="https://www.legis.state.pa.us/" TargetMode="External"/><Relationship Id="rId89" Type="http://schemas.openxmlformats.org/officeDocument/2006/relationships/hyperlink" Target="https://www.rilegislature.gov/" TargetMode="External"/><Relationship Id="rId90" Type="http://schemas.openxmlformats.org/officeDocument/2006/relationships/hyperlink" Target="https://www.scstatehouse.gov/" TargetMode="External"/><Relationship Id="rId91" Type="http://schemas.openxmlformats.org/officeDocument/2006/relationships/hyperlink" Target="https://sdlegislature.gov/" TargetMode="External"/><Relationship Id="rId92" Type="http://schemas.openxmlformats.org/officeDocument/2006/relationships/hyperlink" Target="https://www.capitol.tn.gov/" TargetMode="External"/><Relationship Id="rId93" Type="http://schemas.openxmlformats.org/officeDocument/2006/relationships/hyperlink" Target="https://capitol.texas.gov/" TargetMode="External"/><Relationship Id="rId94" Type="http://schemas.openxmlformats.org/officeDocument/2006/relationships/hyperlink" Target="https://le.utah.gov/" TargetMode="External"/><Relationship Id="rId95" Type="http://schemas.openxmlformats.org/officeDocument/2006/relationships/hyperlink" Target="https://legislature.vermont.gov/" TargetMode="External"/><Relationship Id="rId96" Type="http://schemas.openxmlformats.org/officeDocument/2006/relationships/hyperlink" Target="https://lis.virginia.gov/" TargetMode="External"/><Relationship Id="rId97" Type="http://schemas.openxmlformats.org/officeDocument/2006/relationships/hyperlink" Target="https://leg.wa.gov/" TargetMode="External"/><Relationship Id="rId98" Type="http://schemas.openxmlformats.org/officeDocument/2006/relationships/hyperlink" Target="https://www.wvlegislature.gov/" TargetMode="External"/><Relationship Id="rId99" Type="http://schemas.openxmlformats.org/officeDocument/2006/relationships/hyperlink" Target="https://legis.wisconsin.gov/" TargetMode="External"/><Relationship Id="rId100" Type="http://schemas.openxmlformats.org/officeDocument/2006/relationships/hyperlink" Target="https://www.wyoleg.gov/" TargetMode="External"/><Relationship Id="rId101" Type="http://schemas.openxmlformats.org/officeDocument/2006/relationships/hyperlink" Target="https://www.ncsl.org/about-state-legislatures/2026-legislative-session-calendar" TargetMode="External"/><Relationship Id="rId102" Type="http://schemas.openxmlformats.org/officeDocument/2006/relationships/hyperlink" Target="https://www.usa.gov/state-governments" TargetMode="External"/><Relationship Id="rId103" Type="http://schemas.openxmlformats.org/officeDocument/2006/relationships/hyperlink" Target="https://www.whitehouse.gov/news/" TargetMode="External"/><Relationship Id="rId104" Type="http://schemas.openxmlformats.org/officeDocument/2006/relationships/hyperlink" Target="https://www.census.gov/economic-indicators/calendar-listview.html" TargetMode="External"/><Relationship Id="rId105" Type="http://schemas.openxmlformats.org/officeDocument/2006/relationships/hyperlink" Target="https://www.nasa.gov/news-rele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Potomac Highlands Strategy Monday Intelligence Brief — September 28–October 4, 2026</dc:title>
  <dc:subject>Federal policy, agency, funding and procurement intelligence</dc:subject>
  <dc:creator>Potomac Highlands Strategy</dc:creator>
  <cp:keywords>federal policy, Congress, agencies, grants, contracts, AI, national security, 50-state legislatures</cp:keywords>
  <dc:description>generated by python-docx</dc:description>
  <cp:lastModifiedBy/>
  <cp:revision>1</cp:revision>
  <dcterms:created xsi:type="dcterms:W3CDTF">2013-12-23T23:15:00Z</dcterms:created>
  <dcterms:modified xsi:type="dcterms:W3CDTF">2013-12-23T23:15:00Z</dcterms:modified>
  <cp:category/>
</cp:coreProperties>
</file>